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99828" w14:textId="77777777" w:rsidR="007629A4" w:rsidRDefault="007629A4" w:rsidP="00F4691D">
      <w:pPr>
        <w:pStyle w:val="TOCHeading"/>
        <w:rPr>
          <w:rFonts w:eastAsiaTheme="minorHAnsi"/>
        </w:rPr>
      </w:pPr>
    </w:p>
    <w:p w14:paraId="0B6F238E" w14:textId="77777777" w:rsidR="007629A4" w:rsidRDefault="007629A4" w:rsidP="00F4691D">
      <w:pPr>
        <w:pStyle w:val="TOCHeading"/>
        <w:rPr>
          <w:rFonts w:eastAsiaTheme="minorHAnsi"/>
        </w:rPr>
      </w:pPr>
    </w:p>
    <w:p w14:paraId="41B3BD14" w14:textId="77777777" w:rsidR="007629A4" w:rsidRDefault="007629A4" w:rsidP="00F4691D">
      <w:pPr>
        <w:pStyle w:val="TOCHeading"/>
        <w:rPr>
          <w:rFonts w:eastAsiaTheme="minorHAnsi"/>
        </w:rPr>
      </w:pPr>
    </w:p>
    <w:p w14:paraId="24CE8AF7" w14:textId="4244C503" w:rsidR="007629A4" w:rsidRPr="00F4691D" w:rsidRDefault="00F4691D" w:rsidP="007629A4">
      <w:pPr>
        <w:rPr>
          <w:color w:val="FFFFFF" w:themeColor="background1"/>
        </w:rPr>
      </w:pPr>
      <w:r w:rsidRPr="00F4691D">
        <w:rPr>
          <w:i/>
          <w:noProof/>
          <w:color w:val="FFFFFF" w:themeColor="background1"/>
        </w:rPr>
        <mc:AlternateContent>
          <mc:Choice Requires="wps">
            <w:drawing>
              <wp:anchor distT="0" distB="0" distL="114300" distR="114300" simplePos="0" relativeHeight="251659264" behindDoc="1" locked="0" layoutInCell="1" allowOverlap="1" wp14:anchorId="62F736B7" wp14:editId="130EE284">
                <wp:simplePos x="0" y="0"/>
                <wp:positionH relativeFrom="page">
                  <wp:posOffset>0</wp:posOffset>
                </wp:positionH>
                <wp:positionV relativeFrom="paragraph">
                  <wp:posOffset>340360</wp:posOffset>
                </wp:positionV>
                <wp:extent cx="3257550" cy="320040"/>
                <wp:effectExtent l="0" t="0" r="0" b="3810"/>
                <wp:wrapNone/>
                <wp:docPr id="6" name="Прямоугольник 3"/>
                <wp:cNvGraphicFramePr/>
                <a:graphic xmlns:a="http://schemas.openxmlformats.org/drawingml/2006/main">
                  <a:graphicData uri="http://schemas.microsoft.com/office/word/2010/wordprocessingShape">
                    <wps:wsp>
                      <wps:cNvSpPr/>
                      <wps:spPr>
                        <a:xfrm>
                          <a:off x="0" y="0"/>
                          <a:ext cx="3257550" cy="320040"/>
                        </a:xfrm>
                        <a:prstGeom prst="rect">
                          <a:avLst/>
                        </a:prstGeom>
                        <a:solidFill>
                          <a:srgbClr val="00B3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F2D55B" id="Прямоугольник 3" o:spid="_x0000_s1026" style="position:absolute;margin-left:0;margin-top:26.8pt;width:256.5pt;height:25.2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" fillcolor="#00b3c4" stroked="f" strokeweight="1pt">
                <w10:wrap anchorx="page"/>
              </v:rect>
            </w:pict>
          </mc:Fallback>
        </mc:AlternateContent>
      </w:r>
    </w:p>
    <w:sdt>
      <w:sdtPr>
        <w:rPr>
          <w:rFonts w:ascii="GHEA Grapalat" w:eastAsiaTheme="minorHAnsi" w:hAnsi="GHEA Grapalat" w:cstheme="minorBidi"/>
          <w:b w:val="0"/>
          <w:color w:val="FFFFFF" w:themeColor="background1"/>
          <w:sz w:val="28"/>
          <w:szCs w:val="22"/>
          <w:lang w:val="en-US"/>
        </w:rPr>
        <w:id w:val="890227060"/>
        <w:docPartObj>
          <w:docPartGallery w:val="Table of Contents"/>
          <w:docPartUnique/>
        </w:docPartObj>
      </w:sdtPr>
      <w:sdtEndPr>
        <w:rPr>
          <w:bCs/>
          <w:noProof/>
          <w:color w:val="auto"/>
          <w:sz w:val="22"/>
        </w:rPr>
      </w:sdtEndPr>
      <w:sdtContent>
        <w:p w14:paraId="6976930F" w14:textId="57BB29F0" w:rsidR="003F03A5" w:rsidRPr="00380100" w:rsidRDefault="003F03A5" w:rsidP="00380100">
          <w:pPr>
            <w:pStyle w:val="TOCHeading"/>
            <w:spacing w:after="240"/>
            <w:rPr>
              <w:rFonts w:ascii="GHEA Grapalat" w:hAnsi="GHEA Grapalat"/>
              <w:color w:val="FFFFFF" w:themeColor="background1"/>
              <w:sz w:val="28"/>
            </w:rPr>
          </w:pPr>
          <w:r w:rsidRPr="00380100">
            <w:rPr>
              <w:rFonts w:ascii="GHEA Grapalat" w:hAnsi="GHEA Grapalat"/>
              <w:color w:val="FFFFFF" w:themeColor="background1"/>
              <w:sz w:val="28"/>
            </w:rPr>
            <w:t>ԲՈՎԱՆԴԱԿՈՒԹՅՈՒՆ</w:t>
          </w:r>
        </w:p>
        <w:p w14:paraId="02560989" w14:textId="77777777" w:rsidR="00D53FA8" w:rsidRPr="007629A4" w:rsidRDefault="003F03A5" w:rsidP="00D53FA8">
          <w:pPr>
            <w:pStyle w:val="TOC1"/>
            <w:tabs>
              <w:tab w:val="right" w:leader="dot" w:pos="9062"/>
            </w:tabs>
            <w:ind w:firstLine="0"/>
            <w:rPr>
              <w:rFonts w:asciiTheme="minorHAnsi" w:eastAsiaTheme="minorEastAsia" w:hAnsiTheme="minorHAnsi"/>
              <w:noProof/>
              <w:sz w:val="22"/>
            </w:rPr>
          </w:pPr>
          <w:r w:rsidRPr="007629A4">
            <w:rPr>
              <w:b/>
              <w:bCs/>
              <w:noProof/>
              <w:sz w:val="22"/>
            </w:rPr>
            <w:fldChar w:fldCharType="begin"/>
          </w:r>
          <w:r w:rsidRPr="007629A4">
            <w:rPr>
              <w:b/>
              <w:bCs/>
              <w:noProof/>
              <w:sz w:val="22"/>
            </w:rPr>
            <w:instrText xml:space="preserve"> TOC \o "1-3" \h \z \u </w:instrText>
          </w:r>
          <w:r w:rsidRPr="007629A4">
            <w:rPr>
              <w:b/>
              <w:bCs/>
              <w:noProof/>
              <w:sz w:val="22"/>
            </w:rPr>
            <w:fldChar w:fldCharType="separate"/>
          </w:r>
          <w:hyperlink w:anchor="_Toc88138973" w:history="1">
            <w:r w:rsidR="00D53FA8" w:rsidRPr="007629A4">
              <w:rPr>
                <w:rStyle w:val="Hyperlink"/>
                <w:noProof/>
                <w:sz w:val="22"/>
                <w:lang w:val="hy-AM"/>
              </w:rPr>
              <w:t>ՆԱԽԱԲԱՆ</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_Toc88138973 \h </w:instrText>
            </w:r>
            <w:r w:rsidR="00D53FA8" w:rsidRPr="007629A4">
              <w:rPr>
                <w:noProof/>
                <w:webHidden/>
                <w:sz w:val="22"/>
              </w:rPr>
            </w:r>
            <w:r w:rsidR="00D53FA8" w:rsidRPr="007629A4">
              <w:rPr>
                <w:noProof/>
                <w:webHidden/>
                <w:sz w:val="22"/>
              </w:rPr>
              <w:fldChar w:fldCharType="separate"/>
            </w:r>
            <w:r w:rsidR="00C8772C">
              <w:rPr>
                <w:noProof/>
                <w:webHidden/>
                <w:sz w:val="22"/>
              </w:rPr>
              <w:t>1</w:t>
            </w:r>
            <w:r w:rsidR="00D53FA8" w:rsidRPr="007629A4">
              <w:rPr>
                <w:noProof/>
                <w:webHidden/>
                <w:sz w:val="22"/>
              </w:rPr>
              <w:fldChar w:fldCharType="end"/>
            </w:r>
          </w:hyperlink>
        </w:p>
        <w:p w14:paraId="39B8705C" w14:textId="77777777" w:rsidR="00D53FA8" w:rsidRPr="007629A4" w:rsidRDefault="00C8772C" w:rsidP="00D53FA8">
          <w:pPr>
            <w:pStyle w:val="TOC1"/>
            <w:tabs>
              <w:tab w:val="right" w:leader="dot" w:pos="9062"/>
            </w:tabs>
            <w:ind w:firstLine="0"/>
            <w:rPr>
              <w:rFonts w:asciiTheme="minorHAnsi" w:eastAsiaTheme="minorEastAsia" w:hAnsiTheme="minorHAnsi"/>
              <w:noProof/>
              <w:sz w:val="22"/>
            </w:rPr>
          </w:pPr>
          <w:hyperlink w:anchor="_Toc88138974" w:history="1">
            <w:r w:rsidR="00D53FA8" w:rsidRPr="007629A4">
              <w:rPr>
                <w:rStyle w:val="Hyperlink"/>
                <w:noProof/>
                <w:sz w:val="22"/>
                <w:lang w:val="hy-AM"/>
              </w:rPr>
              <w:t>1. ՏՆՏԵՍԱԿԱՆ ԱՃԻ ՔԱՂԱՔԱԿԱՆՈՒԹՅՈՒՆԸ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_Toc88138974 \h </w:instrText>
            </w:r>
            <w:r w:rsidR="00D53FA8" w:rsidRPr="007629A4">
              <w:rPr>
                <w:noProof/>
                <w:webHidden/>
                <w:sz w:val="22"/>
              </w:rPr>
            </w:r>
            <w:r w:rsidR="00D53FA8" w:rsidRPr="007629A4">
              <w:rPr>
                <w:noProof/>
                <w:webHidden/>
                <w:sz w:val="22"/>
              </w:rPr>
              <w:fldChar w:fldCharType="separate"/>
            </w:r>
            <w:r>
              <w:rPr>
                <w:noProof/>
                <w:webHidden/>
                <w:sz w:val="22"/>
              </w:rPr>
              <w:t>2</w:t>
            </w:r>
            <w:r w:rsidR="00D53FA8" w:rsidRPr="007629A4">
              <w:rPr>
                <w:noProof/>
                <w:webHidden/>
                <w:sz w:val="22"/>
              </w:rPr>
              <w:fldChar w:fldCharType="end"/>
            </w:r>
          </w:hyperlink>
        </w:p>
        <w:p w14:paraId="73BB5DFA" w14:textId="77777777" w:rsidR="00D53FA8" w:rsidRPr="007629A4" w:rsidRDefault="00C8772C" w:rsidP="00D53FA8">
          <w:pPr>
            <w:pStyle w:val="TOC1"/>
            <w:tabs>
              <w:tab w:val="right" w:leader="dot" w:pos="9062"/>
            </w:tabs>
            <w:ind w:firstLine="0"/>
            <w:rPr>
              <w:rFonts w:asciiTheme="minorHAnsi" w:eastAsiaTheme="minorEastAsia" w:hAnsiTheme="minorHAnsi"/>
              <w:noProof/>
              <w:sz w:val="22"/>
            </w:rPr>
          </w:pPr>
          <w:hyperlink w:anchor="_Toc88138975" w:history="1">
            <w:r w:rsidR="00D53FA8" w:rsidRPr="007629A4">
              <w:rPr>
                <w:rStyle w:val="Hyperlink"/>
                <w:noProof/>
                <w:sz w:val="22"/>
                <w:lang w:val="hy-AM"/>
              </w:rPr>
              <w:t>2. ՏՆՏԵՍԱԿԱՆ ՄԻՋԱՎԱՅՐԸ ԵՎ ՏՆՏԵՍԱԿԱՆ ԱՃԻ ԿԱՌՈՒՑՎԱԾՔԸ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_Toc88138975 \h </w:instrText>
            </w:r>
            <w:r w:rsidR="00D53FA8" w:rsidRPr="007629A4">
              <w:rPr>
                <w:noProof/>
                <w:webHidden/>
                <w:sz w:val="22"/>
              </w:rPr>
            </w:r>
            <w:r w:rsidR="00D53FA8" w:rsidRPr="007629A4">
              <w:rPr>
                <w:noProof/>
                <w:webHidden/>
                <w:sz w:val="22"/>
              </w:rPr>
              <w:fldChar w:fldCharType="separate"/>
            </w:r>
            <w:r>
              <w:rPr>
                <w:noProof/>
                <w:webHidden/>
                <w:sz w:val="22"/>
              </w:rPr>
              <w:t>8</w:t>
            </w:r>
            <w:r w:rsidR="00D53FA8" w:rsidRPr="007629A4">
              <w:rPr>
                <w:noProof/>
                <w:webHidden/>
                <w:sz w:val="22"/>
              </w:rPr>
              <w:fldChar w:fldCharType="end"/>
            </w:r>
          </w:hyperlink>
        </w:p>
        <w:p w14:paraId="76112785" w14:textId="77777777" w:rsidR="00D53FA8" w:rsidRPr="007629A4" w:rsidRDefault="00C8772C" w:rsidP="00D53FA8">
          <w:pPr>
            <w:pStyle w:val="TOC2"/>
            <w:rPr>
              <w:rFonts w:asciiTheme="minorHAnsi" w:eastAsiaTheme="minorEastAsia" w:hAnsiTheme="minorHAnsi"/>
              <w:noProof/>
              <w:sz w:val="22"/>
            </w:rPr>
          </w:pPr>
          <w:hyperlink w:anchor="_Toc88138976" w:history="1">
            <w:r w:rsidR="00D53FA8" w:rsidRPr="007629A4">
              <w:rPr>
                <w:rStyle w:val="Hyperlink"/>
                <w:noProof/>
                <w:sz w:val="22"/>
                <w:lang w:val="hy-AM"/>
              </w:rPr>
              <w:t>2.1. Ներդրումների աճն ու տնտեսության ենթակառուցվածքների զարգացումը` մրցունակության և կայուն աճի նախադրյալներ</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_Toc88138976 \h </w:instrText>
            </w:r>
            <w:r w:rsidR="00D53FA8" w:rsidRPr="007629A4">
              <w:rPr>
                <w:noProof/>
                <w:webHidden/>
                <w:sz w:val="22"/>
              </w:rPr>
            </w:r>
            <w:r w:rsidR="00D53FA8" w:rsidRPr="007629A4">
              <w:rPr>
                <w:noProof/>
                <w:webHidden/>
                <w:sz w:val="22"/>
              </w:rPr>
              <w:fldChar w:fldCharType="separate"/>
            </w:r>
            <w:r>
              <w:rPr>
                <w:noProof/>
                <w:webHidden/>
                <w:sz w:val="22"/>
              </w:rPr>
              <w:t>8</w:t>
            </w:r>
            <w:r w:rsidR="00D53FA8" w:rsidRPr="007629A4">
              <w:rPr>
                <w:noProof/>
                <w:webHidden/>
                <w:sz w:val="22"/>
              </w:rPr>
              <w:fldChar w:fldCharType="end"/>
            </w:r>
          </w:hyperlink>
        </w:p>
        <w:p w14:paraId="0B260225" w14:textId="77777777" w:rsidR="00D53FA8" w:rsidRPr="007629A4" w:rsidRDefault="00C8772C" w:rsidP="00D53FA8">
          <w:pPr>
            <w:pStyle w:val="TOC3"/>
            <w:rPr>
              <w:rFonts w:asciiTheme="minorHAnsi" w:eastAsiaTheme="minorEastAsia" w:hAnsiTheme="minorHAnsi"/>
              <w:noProof/>
              <w:sz w:val="22"/>
            </w:rPr>
          </w:pPr>
          <w:hyperlink w:anchor="_Toc88138977" w:history="1">
            <w:r w:rsidR="00D53FA8" w:rsidRPr="007629A4">
              <w:rPr>
                <w:rStyle w:val="Hyperlink"/>
                <w:noProof/>
                <w:sz w:val="22"/>
                <w:lang w:val="hy-AM"/>
              </w:rPr>
              <w:t>2.1.1. Գործարար միջավայրի խթանման և փոքր ու միջին ձեռնարկատիրության զարգացման քաղաքականությունը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_Toc88138977 \h </w:instrText>
            </w:r>
            <w:r w:rsidR="00D53FA8" w:rsidRPr="007629A4">
              <w:rPr>
                <w:noProof/>
                <w:webHidden/>
                <w:sz w:val="22"/>
              </w:rPr>
            </w:r>
            <w:r w:rsidR="00D53FA8" w:rsidRPr="007629A4">
              <w:rPr>
                <w:noProof/>
                <w:webHidden/>
                <w:sz w:val="22"/>
              </w:rPr>
              <w:fldChar w:fldCharType="separate"/>
            </w:r>
            <w:r>
              <w:rPr>
                <w:noProof/>
                <w:webHidden/>
                <w:sz w:val="22"/>
              </w:rPr>
              <w:t>14</w:t>
            </w:r>
            <w:r w:rsidR="00D53FA8" w:rsidRPr="007629A4">
              <w:rPr>
                <w:noProof/>
                <w:webHidden/>
                <w:sz w:val="22"/>
              </w:rPr>
              <w:fldChar w:fldCharType="end"/>
            </w:r>
          </w:hyperlink>
        </w:p>
        <w:p w14:paraId="4C2CFD6A" w14:textId="77777777" w:rsidR="00D53FA8" w:rsidRPr="007629A4" w:rsidRDefault="00C8772C" w:rsidP="00D53FA8">
          <w:pPr>
            <w:pStyle w:val="TOC2"/>
            <w:rPr>
              <w:rFonts w:asciiTheme="minorHAnsi" w:eastAsiaTheme="minorEastAsia" w:hAnsiTheme="minorHAnsi"/>
              <w:noProof/>
              <w:sz w:val="22"/>
            </w:rPr>
          </w:pPr>
          <w:hyperlink w:anchor="_Toc88138978" w:history="1">
            <w:r w:rsidR="00D53FA8" w:rsidRPr="007629A4">
              <w:rPr>
                <w:rStyle w:val="Hyperlink"/>
                <w:noProof/>
                <w:sz w:val="22"/>
              </w:rPr>
              <w:t>2.2. Արտահանումը` տնտեսական աճի հիմնական շարժիչ</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_Toc88138978 \h </w:instrText>
            </w:r>
            <w:r w:rsidR="00D53FA8" w:rsidRPr="007629A4">
              <w:rPr>
                <w:noProof/>
                <w:webHidden/>
                <w:sz w:val="22"/>
              </w:rPr>
            </w:r>
            <w:r w:rsidR="00D53FA8" w:rsidRPr="007629A4">
              <w:rPr>
                <w:noProof/>
                <w:webHidden/>
                <w:sz w:val="22"/>
              </w:rPr>
              <w:fldChar w:fldCharType="separate"/>
            </w:r>
            <w:r>
              <w:rPr>
                <w:noProof/>
                <w:webHidden/>
                <w:sz w:val="22"/>
              </w:rPr>
              <w:t>16</w:t>
            </w:r>
            <w:r w:rsidR="00D53FA8" w:rsidRPr="007629A4">
              <w:rPr>
                <w:noProof/>
                <w:webHidden/>
                <w:sz w:val="22"/>
              </w:rPr>
              <w:fldChar w:fldCharType="end"/>
            </w:r>
          </w:hyperlink>
        </w:p>
        <w:p w14:paraId="75029948" w14:textId="77777777" w:rsidR="00D53FA8" w:rsidRPr="007629A4" w:rsidRDefault="00C8772C" w:rsidP="00D53FA8">
          <w:pPr>
            <w:pStyle w:val="TOC2"/>
            <w:rPr>
              <w:rFonts w:asciiTheme="minorHAnsi" w:eastAsiaTheme="minorEastAsia" w:hAnsiTheme="minorHAnsi"/>
              <w:noProof/>
              <w:sz w:val="22"/>
            </w:rPr>
          </w:pPr>
          <w:hyperlink w:anchor="_Toc88138979" w:history="1">
            <w:r w:rsidR="00D53FA8" w:rsidRPr="007629A4">
              <w:rPr>
                <w:rStyle w:val="Hyperlink"/>
                <w:noProof/>
                <w:sz w:val="22"/>
              </w:rPr>
              <w:t>2.3. Բարձր տեխնոլոգիաները` տնտեսության լոկոմոտիվ</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_Toc88138979 \h </w:instrText>
            </w:r>
            <w:r w:rsidR="00D53FA8" w:rsidRPr="007629A4">
              <w:rPr>
                <w:noProof/>
                <w:webHidden/>
                <w:sz w:val="22"/>
              </w:rPr>
            </w:r>
            <w:r w:rsidR="00D53FA8" w:rsidRPr="007629A4">
              <w:rPr>
                <w:noProof/>
                <w:webHidden/>
                <w:sz w:val="22"/>
              </w:rPr>
              <w:fldChar w:fldCharType="separate"/>
            </w:r>
            <w:r>
              <w:rPr>
                <w:noProof/>
                <w:webHidden/>
                <w:sz w:val="22"/>
              </w:rPr>
              <w:t>18</w:t>
            </w:r>
            <w:r w:rsidR="00D53FA8" w:rsidRPr="007629A4">
              <w:rPr>
                <w:noProof/>
                <w:webHidden/>
                <w:sz w:val="22"/>
              </w:rPr>
              <w:fldChar w:fldCharType="end"/>
            </w:r>
          </w:hyperlink>
        </w:p>
        <w:p w14:paraId="7FBF4DD2" w14:textId="77777777" w:rsidR="00D53FA8" w:rsidRPr="007629A4" w:rsidRDefault="00C8772C" w:rsidP="00D53FA8">
          <w:pPr>
            <w:pStyle w:val="TOC2"/>
            <w:rPr>
              <w:rFonts w:asciiTheme="minorHAnsi" w:eastAsiaTheme="minorEastAsia" w:hAnsiTheme="minorHAnsi"/>
              <w:noProof/>
              <w:sz w:val="22"/>
            </w:rPr>
          </w:pPr>
          <w:hyperlink w:anchor="_Toc88138980" w:history="1">
            <w:r w:rsidR="00D53FA8" w:rsidRPr="007629A4">
              <w:rPr>
                <w:rStyle w:val="Hyperlink"/>
                <w:noProof/>
                <w:sz w:val="22"/>
                <w:lang w:val="hy-AM"/>
              </w:rPr>
              <w:t>2.4. Մշակող արդյունաբերությունը` արտադրական կարողությունների ընդլայնման հնարավորություն, հանքարդյունաբերությունը` տնտեսական աճի ապահովման օժանդակ միջոց, ծառայությունները` տնտեսական աճի ապահովման հիմնական ուղղություն</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_Toc88138980 \h </w:instrText>
            </w:r>
            <w:r w:rsidR="00D53FA8" w:rsidRPr="007629A4">
              <w:rPr>
                <w:noProof/>
                <w:webHidden/>
                <w:sz w:val="22"/>
              </w:rPr>
            </w:r>
            <w:r w:rsidR="00D53FA8" w:rsidRPr="007629A4">
              <w:rPr>
                <w:noProof/>
                <w:webHidden/>
                <w:sz w:val="22"/>
              </w:rPr>
              <w:fldChar w:fldCharType="separate"/>
            </w:r>
            <w:r>
              <w:rPr>
                <w:noProof/>
                <w:webHidden/>
                <w:sz w:val="22"/>
              </w:rPr>
              <w:t>20</w:t>
            </w:r>
            <w:r w:rsidR="00D53FA8" w:rsidRPr="007629A4">
              <w:rPr>
                <w:noProof/>
                <w:webHidden/>
                <w:sz w:val="22"/>
              </w:rPr>
              <w:fldChar w:fldCharType="end"/>
            </w:r>
          </w:hyperlink>
        </w:p>
        <w:p w14:paraId="69197C6E" w14:textId="77777777" w:rsidR="00D53FA8" w:rsidRPr="007629A4" w:rsidRDefault="00C8772C" w:rsidP="00D53FA8">
          <w:pPr>
            <w:pStyle w:val="TOC2"/>
            <w:rPr>
              <w:rFonts w:asciiTheme="minorHAnsi" w:eastAsiaTheme="minorEastAsia" w:hAnsiTheme="minorHAnsi"/>
              <w:noProof/>
              <w:sz w:val="22"/>
            </w:rPr>
          </w:pPr>
          <w:hyperlink w:anchor="_Toc88138981" w:history="1">
            <w:r w:rsidR="00D53FA8" w:rsidRPr="007629A4">
              <w:rPr>
                <w:rStyle w:val="Hyperlink"/>
                <w:noProof/>
                <w:sz w:val="22"/>
              </w:rPr>
              <w:t>2.</w:t>
            </w:r>
            <w:r w:rsidR="00D53FA8" w:rsidRPr="007629A4">
              <w:rPr>
                <w:rStyle w:val="Hyperlink"/>
                <w:noProof/>
                <w:sz w:val="22"/>
                <w:lang w:val="hy-AM"/>
              </w:rPr>
              <w:t>5</w:t>
            </w:r>
            <w:r w:rsidR="00D53FA8" w:rsidRPr="007629A4">
              <w:rPr>
                <w:rStyle w:val="Hyperlink"/>
                <w:noProof/>
                <w:sz w:val="22"/>
              </w:rPr>
              <w:t>. Գյուղատնտեսության զարգացումը` տնտեսության զարգացման նախապայման</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_Toc88138981 \h </w:instrText>
            </w:r>
            <w:r w:rsidR="00D53FA8" w:rsidRPr="007629A4">
              <w:rPr>
                <w:noProof/>
                <w:webHidden/>
                <w:sz w:val="22"/>
              </w:rPr>
            </w:r>
            <w:r w:rsidR="00D53FA8" w:rsidRPr="007629A4">
              <w:rPr>
                <w:noProof/>
                <w:webHidden/>
                <w:sz w:val="22"/>
              </w:rPr>
              <w:fldChar w:fldCharType="separate"/>
            </w:r>
            <w:r>
              <w:rPr>
                <w:noProof/>
                <w:webHidden/>
                <w:sz w:val="22"/>
              </w:rPr>
              <w:t>24</w:t>
            </w:r>
            <w:r w:rsidR="00D53FA8" w:rsidRPr="007629A4">
              <w:rPr>
                <w:noProof/>
                <w:webHidden/>
                <w:sz w:val="22"/>
              </w:rPr>
              <w:fldChar w:fldCharType="end"/>
            </w:r>
          </w:hyperlink>
        </w:p>
        <w:p w14:paraId="11C76DA4" w14:textId="77777777" w:rsidR="00D53FA8" w:rsidRPr="007629A4" w:rsidRDefault="00C8772C" w:rsidP="00D53FA8">
          <w:pPr>
            <w:pStyle w:val="TOC1"/>
            <w:tabs>
              <w:tab w:val="right" w:leader="dot" w:pos="9062"/>
            </w:tabs>
            <w:ind w:firstLine="0"/>
            <w:rPr>
              <w:rFonts w:asciiTheme="minorHAnsi" w:eastAsiaTheme="minorEastAsia" w:hAnsiTheme="minorHAnsi"/>
              <w:noProof/>
              <w:sz w:val="22"/>
            </w:rPr>
          </w:pPr>
          <w:hyperlink w:anchor="_Toc88138982" w:history="1">
            <w:r w:rsidR="00D53FA8" w:rsidRPr="007629A4">
              <w:rPr>
                <w:rStyle w:val="Hyperlink"/>
                <w:noProof/>
                <w:sz w:val="22"/>
                <w:lang w:val="hy-AM"/>
              </w:rPr>
              <w:t>3. ՄԱՐԴԿԱՅԻՆ ԿԱՊԻՏԱԼԸ ԵՎ ՍՈՑԻԱԼԱԿԱՆ ՊԱՇՏՊԱՆՈՒԹՅՈՒՆԸ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_Toc88138982 \h </w:instrText>
            </w:r>
            <w:r w:rsidR="00D53FA8" w:rsidRPr="007629A4">
              <w:rPr>
                <w:noProof/>
                <w:webHidden/>
                <w:sz w:val="22"/>
              </w:rPr>
            </w:r>
            <w:r w:rsidR="00D53FA8" w:rsidRPr="007629A4">
              <w:rPr>
                <w:noProof/>
                <w:webHidden/>
                <w:sz w:val="22"/>
              </w:rPr>
              <w:fldChar w:fldCharType="separate"/>
            </w:r>
            <w:r>
              <w:rPr>
                <w:noProof/>
                <w:webHidden/>
                <w:sz w:val="22"/>
              </w:rPr>
              <w:t>26</w:t>
            </w:r>
            <w:r w:rsidR="00D53FA8" w:rsidRPr="007629A4">
              <w:rPr>
                <w:noProof/>
                <w:webHidden/>
                <w:sz w:val="22"/>
              </w:rPr>
              <w:fldChar w:fldCharType="end"/>
            </w:r>
          </w:hyperlink>
        </w:p>
        <w:p w14:paraId="2AC5F2B6" w14:textId="77777777" w:rsidR="00D53FA8" w:rsidRPr="007629A4" w:rsidRDefault="00C8772C" w:rsidP="00D53FA8">
          <w:pPr>
            <w:pStyle w:val="TOC2"/>
            <w:rPr>
              <w:rFonts w:asciiTheme="minorHAnsi" w:eastAsiaTheme="minorEastAsia" w:hAnsiTheme="minorHAnsi"/>
              <w:noProof/>
              <w:sz w:val="22"/>
            </w:rPr>
          </w:pPr>
          <w:hyperlink w:anchor="_Toc88138983" w:history="1">
            <w:r w:rsidR="00D53FA8" w:rsidRPr="007629A4">
              <w:rPr>
                <w:rStyle w:val="Hyperlink"/>
                <w:noProof/>
                <w:sz w:val="22"/>
                <w:lang w:val="hy-AM"/>
              </w:rPr>
              <w:t>3.1</w:t>
            </w:r>
            <w:r w:rsidR="00D53FA8" w:rsidRPr="007629A4">
              <w:rPr>
                <w:rStyle w:val="Hyperlink"/>
                <w:noProof/>
                <w:sz w:val="22"/>
              </w:rPr>
              <w:t xml:space="preserve">. </w:t>
            </w:r>
            <w:r w:rsidR="00D53FA8" w:rsidRPr="007629A4">
              <w:rPr>
                <w:rStyle w:val="Hyperlink"/>
                <w:noProof/>
                <w:sz w:val="22"/>
                <w:lang w:val="hy-AM"/>
              </w:rPr>
              <w:t>Աղքատության հաղթահարումը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_Toc88138983 \h </w:instrText>
            </w:r>
            <w:r w:rsidR="00D53FA8" w:rsidRPr="007629A4">
              <w:rPr>
                <w:noProof/>
                <w:webHidden/>
                <w:sz w:val="22"/>
              </w:rPr>
            </w:r>
            <w:r w:rsidR="00D53FA8" w:rsidRPr="007629A4">
              <w:rPr>
                <w:noProof/>
                <w:webHidden/>
                <w:sz w:val="22"/>
              </w:rPr>
              <w:fldChar w:fldCharType="separate"/>
            </w:r>
            <w:r>
              <w:rPr>
                <w:noProof/>
                <w:webHidden/>
                <w:sz w:val="22"/>
              </w:rPr>
              <w:t>26</w:t>
            </w:r>
            <w:r w:rsidR="00D53FA8" w:rsidRPr="007629A4">
              <w:rPr>
                <w:noProof/>
                <w:webHidden/>
                <w:sz w:val="22"/>
              </w:rPr>
              <w:fldChar w:fldCharType="end"/>
            </w:r>
          </w:hyperlink>
        </w:p>
        <w:p w14:paraId="06FD0A8F" w14:textId="77777777" w:rsidR="00D53FA8" w:rsidRPr="007629A4" w:rsidRDefault="00C8772C" w:rsidP="00D53FA8">
          <w:pPr>
            <w:pStyle w:val="TOC2"/>
            <w:rPr>
              <w:rFonts w:asciiTheme="minorHAnsi" w:eastAsiaTheme="minorEastAsia" w:hAnsiTheme="minorHAnsi"/>
              <w:noProof/>
              <w:sz w:val="22"/>
            </w:rPr>
          </w:pPr>
          <w:hyperlink w:anchor="_Toc88138984" w:history="1">
            <w:r w:rsidR="00D53FA8" w:rsidRPr="007629A4">
              <w:rPr>
                <w:rStyle w:val="Hyperlink"/>
                <w:noProof/>
                <w:sz w:val="22"/>
                <w:lang w:val="hy-AM"/>
              </w:rPr>
              <w:t>3.2. Զբաղվածության ընդլայնումը և գործազրկության կրճատումը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_Toc88138984 \h </w:instrText>
            </w:r>
            <w:r w:rsidR="00D53FA8" w:rsidRPr="007629A4">
              <w:rPr>
                <w:noProof/>
                <w:webHidden/>
                <w:sz w:val="22"/>
              </w:rPr>
            </w:r>
            <w:r w:rsidR="00D53FA8" w:rsidRPr="007629A4">
              <w:rPr>
                <w:noProof/>
                <w:webHidden/>
                <w:sz w:val="22"/>
              </w:rPr>
              <w:fldChar w:fldCharType="separate"/>
            </w:r>
            <w:r>
              <w:rPr>
                <w:noProof/>
                <w:webHidden/>
                <w:sz w:val="22"/>
              </w:rPr>
              <w:t>29</w:t>
            </w:r>
            <w:r w:rsidR="00D53FA8" w:rsidRPr="007629A4">
              <w:rPr>
                <w:noProof/>
                <w:webHidden/>
                <w:sz w:val="22"/>
              </w:rPr>
              <w:fldChar w:fldCharType="end"/>
            </w:r>
          </w:hyperlink>
        </w:p>
        <w:p w14:paraId="348ACCA4" w14:textId="77777777" w:rsidR="00D53FA8" w:rsidRPr="007629A4" w:rsidRDefault="00C8772C" w:rsidP="00D53FA8">
          <w:pPr>
            <w:pStyle w:val="TOC2"/>
            <w:rPr>
              <w:rFonts w:asciiTheme="minorHAnsi" w:eastAsiaTheme="minorEastAsia" w:hAnsiTheme="minorHAnsi"/>
              <w:noProof/>
              <w:sz w:val="22"/>
            </w:rPr>
          </w:pPr>
          <w:hyperlink w:anchor="_Toc88138985" w:history="1">
            <w:r w:rsidR="00D53FA8" w:rsidRPr="007629A4">
              <w:rPr>
                <w:rStyle w:val="Hyperlink"/>
                <w:noProof/>
                <w:sz w:val="22"/>
                <w:lang w:val="hy-AM"/>
              </w:rPr>
              <w:t>3.3. Բնակչության կյանքի որակի բարելավումն ու եկամուտների աճը` սոցիալ-տնտեսական քաղաքականության արդյունք</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_Toc88138985 \h </w:instrText>
            </w:r>
            <w:r w:rsidR="00D53FA8" w:rsidRPr="007629A4">
              <w:rPr>
                <w:noProof/>
                <w:webHidden/>
                <w:sz w:val="22"/>
              </w:rPr>
            </w:r>
            <w:r w:rsidR="00D53FA8" w:rsidRPr="007629A4">
              <w:rPr>
                <w:noProof/>
                <w:webHidden/>
                <w:sz w:val="22"/>
              </w:rPr>
              <w:fldChar w:fldCharType="separate"/>
            </w:r>
            <w:r>
              <w:rPr>
                <w:noProof/>
                <w:webHidden/>
                <w:sz w:val="22"/>
              </w:rPr>
              <w:t>32</w:t>
            </w:r>
            <w:r w:rsidR="00D53FA8" w:rsidRPr="007629A4">
              <w:rPr>
                <w:noProof/>
                <w:webHidden/>
                <w:sz w:val="22"/>
              </w:rPr>
              <w:fldChar w:fldCharType="end"/>
            </w:r>
          </w:hyperlink>
        </w:p>
        <w:p w14:paraId="4BD98E5D" w14:textId="77777777" w:rsidR="00D53FA8" w:rsidRPr="007629A4" w:rsidRDefault="00C8772C" w:rsidP="00D53FA8">
          <w:pPr>
            <w:pStyle w:val="TOC1"/>
            <w:tabs>
              <w:tab w:val="right" w:leader="dot" w:pos="9062"/>
            </w:tabs>
            <w:ind w:firstLine="0"/>
            <w:rPr>
              <w:rFonts w:asciiTheme="minorHAnsi" w:eastAsiaTheme="minorEastAsia" w:hAnsiTheme="minorHAnsi"/>
              <w:noProof/>
              <w:sz w:val="22"/>
            </w:rPr>
          </w:pPr>
          <w:hyperlink w:anchor="_Toc88138986" w:history="1">
            <w:r w:rsidR="00D53FA8" w:rsidRPr="007629A4">
              <w:rPr>
                <w:rStyle w:val="Hyperlink"/>
                <w:noProof/>
                <w:sz w:val="22"/>
                <w:lang w:val="hy-AM"/>
              </w:rPr>
              <w:t>4. ՀԱՆՐԱՅԻՆ ՖԻՆԱՆՍՆԵՐԻ ԿԱՌԱՎԱՐՈՒՄԸ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_Toc88138986 \h </w:instrText>
            </w:r>
            <w:r w:rsidR="00D53FA8" w:rsidRPr="007629A4">
              <w:rPr>
                <w:noProof/>
                <w:webHidden/>
                <w:sz w:val="22"/>
              </w:rPr>
            </w:r>
            <w:r w:rsidR="00D53FA8" w:rsidRPr="007629A4">
              <w:rPr>
                <w:noProof/>
                <w:webHidden/>
                <w:sz w:val="22"/>
              </w:rPr>
              <w:fldChar w:fldCharType="separate"/>
            </w:r>
            <w:r>
              <w:rPr>
                <w:noProof/>
                <w:webHidden/>
                <w:sz w:val="22"/>
              </w:rPr>
              <w:t>37</w:t>
            </w:r>
            <w:r w:rsidR="00D53FA8" w:rsidRPr="007629A4">
              <w:rPr>
                <w:noProof/>
                <w:webHidden/>
                <w:sz w:val="22"/>
              </w:rPr>
              <w:fldChar w:fldCharType="end"/>
            </w:r>
          </w:hyperlink>
        </w:p>
        <w:p w14:paraId="74375701" w14:textId="77777777" w:rsidR="00D53FA8" w:rsidRPr="007629A4" w:rsidRDefault="00C8772C" w:rsidP="00D53FA8">
          <w:pPr>
            <w:pStyle w:val="TOC2"/>
            <w:rPr>
              <w:rFonts w:asciiTheme="minorHAnsi" w:eastAsiaTheme="minorEastAsia" w:hAnsiTheme="minorHAnsi"/>
              <w:noProof/>
              <w:sz w:val="22"/>
            </w:rPr>
          </w:pPr>
          <w:hyperlink w:anchor="_Toc88138987" w:history="1">
            <w:r w:rsidR="00D53FA8" w:rsidRPr="007629A4">
              <w:rPr>
                <w:rStyle w:val="Hyperlink"/>
                <w:noProof/>
                <w:sz w:val="22"/>
                <w:lang w:val="hy-AM"/>
              </w:rPr>
              <w:t>4.1. Կառավարության եկամտային և ծախսային քաղաքականությունը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_Toc88138987 \h </w:instrText>
            </w:r>
            <w:r w:rsidR="00D53FA8" w:rsidRPr="007629A4">
              <w:rPr>
                <w:noProof/>
                <w:webHidden/>
                <w:sz w:val="22"/>
              </w:rPr>
            </w:r>
            <w:r w:rsidR="00D53FA8" w:rsidRPr="007629A4">
              <w:rPr>
                <w:noProof/>
                <w:webHidden/>
                <w:sz w:val="22"/>
              </w:rPr>
              <w:fldChar w:fldCharType="separate"/>
            </w:r>
            <w:r>
              <w:rPr>
                <w:noProof/>
                <w:webHidden/>
                <w:sz w:val="22"/>
              </w:rPr>
              <w:t>37</w:t>
            </w:r>
            <w:r w:rsidR="00D53FA8" w:rsidRPr="007629A4">
              <w:rPr>
                <w:noProof/>
                <w:webHidden/>
                <w:sz w:val="22"/>
              </w:rPr>
              <w:fldChar w:fldCharType="end"/>
            </w:r>
          </w:hyperlink>
        </w:p>
        <w:p w14:paraId="0A11BDAC" w14:textId="77777777" w:rsidR="00D53FA8" w:rsidRPr="007629A4" w:rsidRDefault="00C8772C" w:rsidP="00D53FA8">
          <w:pPr>
            <w:pStyle w:val="TOC3"/>
            <w:rPr>
              <w:rFonts w:asciiTheme="minorHAnsi" w:eastAsiaTheme="minorEastAsia" w:hAnsiTheme="minorHAnsi"/>
              <w:noProof/>
              <w:sz w:val="22"/>
            </w:rPr>
          </w:pPr>
          <w:hyperlink w:anchor="_Toc88138988" w:history="1">
            <w:r w:rsidR="00D53FA8" w:rsidRPr="007629A4">
              <w:rPr>
                <w:rStyle w:val="Hyperlink"/>
                <w:noProof/>
                <w:sz w:val="22"/>
                <w:lang w:val="hy-AM"/>
              </w:rPr>
              <w:t>4.1.1. Եկամտային քաղաքականությունը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_Toc88138988 \h </w:instrText>
            </w:r>
            <w:r w:rsidR="00D53FA8" w:rsidRPr="007629A4">
              <w:rPr>
                <w:noProof/>
                <w:webHidden/>
                <w:sz w:val="22"/>
              </w:rPr>
            </w:r>
            <w:r w:rsidR="00D53FA8" w:rsidRPr="007629A4">
              <w:rPr>
                <w:noProof/>
                <w:webHidden/>
                <w:sz w:val="22"/>
              </w:rPr>
              <w:fldChar w:fldCharType="separate"/>
            </w:r>
            <w:r>
              <w:rPr>
                <w:noProof/>
                <w:webHidden/>
                <w:sz w:val="22"/>
              </w:rPr>
              <w:t>37</w:t>
            </w:r>
            <w:r w:rsidR="00D53FA8" w:rsidRPr="007629A4">
              <w:rPr>
                <w:noProof/>
                <w:webHidden/>
                <w:sz w:val="22"/>
              </w:rPr>
              <w:fldChar w:fldCharType="end"/>
            </w:r>
          </w:hyperlink>
        </w:p>
        <w:p w14:paraId="65A63025" w14:textId="77777777" w:rsidR="00D53FA8" w:rsidRPr="007629A4" w:rsidRDefault="00C8772C" w:rsidP="00D53FA8">
          <w:pPr>
            <w:pStyle w:val="TOC3"/>
            <w:rPr>
              <w:rFonts w:asciiTheme="minorHAnsi" w:eastAsiaTheme="minorEastAsia" w:hAnsiTheme="minorHAnsi"/>
              <w:noProof/>
              <w:sz w:val="22"/>
            </w:rPr>
          </w:pPr>
          <w:hyperlink w:anchor="_Toc88138989" w:history="1">
            <w:r w:rsidR="00D53FA8" w:rsidRPr="007629A4">
              <w:rPr>
                <w:rStyle w:val="Hyperlink"/>
                <w:noProof/>
                <w:sz w:val="22"/>
                <w:lang w:val="hy-AM"/>
              </w:rPr>
              <w:t>4.1.2. Ծախսային քաղաքականությունը</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_Toc88138989 \h </w:instrText>
            </w:r>
            <w:r w:rsidR="00D53FA8" w:rsidRPr="007629A4">
              <w:rPr>
                <w:noProof/>
                <w:webHidden/>
                <w:sz w:val="22"/>
              </w:rPr>
            </w:r>
            <w:r w:rsidR="00D53FA8" w:rsidRPr="007629A4">
              <w:rPr>
                <w:noProof/>
                <w:webHidden/>
                <w:sz w:val="22"/>
              </w:rPr>
              <w:fldChar w:fldCharType="separate"/>
            </w:r>
            <w:r>
              <w:rPr>
                <w:noProof/>
                <w:webHidden/>
                <w:sz w:val="22"/>
              </w:rPr>
              <w:t>41</w:t>
            </w:r>
            <w:r w:rsidR="00D53FA8" w:rsidRPr="007629A4">
              <w:rPr>
                <w:noProof/>
                <w:webHidden/>
                <w:sz w:val="22"/>
              </w:rPr>
              <w:fldChar w:fldCharType="end"/>
            </w:r>
          </w:hyperlink>
        </w:p>
        <w:p w14:paraId="3391F247" w14:textId="77777777" w:rsidR="00D53FA8" w:rsidRPr="007629A4" w:rsidRDefault="00C8772C" w:rsidP="00D53FA8">
          <w:pPr>
            <w:pStyle w:val="TOC2"/>
            <w:rPr>
              <w:rFonts w:asciiTheme="minorHAnsi" w:eastAsiaTheme="minorEastAsia" w:hAnsiTheme="minorHAnsi"/>
              <w:noProof/>
              <w:sz w:val="22"/>
            </w:rPr>
          </w:pPr>
          <w:hyperlink w:anchor="_Toc88138990" w:history="1">
            <w:r w:rsidR="00D53FA8" w:rsidRPr="007629A4">
              <w:rPr>
                <w:rStyle w:val="Hyperlink"/>
                <w:noProof/>
                <w:sz w:val="22"/>
                <w:lang w:val="hy-AM"/>
              </w:rPr>
              <w:t>4.2. Հարկաբյուջետային կանոնների պահպանումը` կայունության նախապայման</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_Toc88138990 \h </w:instrText>
            </w:r>
            <w:r w:rsidR="00D53FA8" w:rsidRPr="007629A4">
              <w:rPr>
                <w:noProof/>
                <w:webHidden/>
                <w:sz w:val="22"/>
              </w:rPr>
            </w:r>
            <w:r w:rsidR="00D53FA8" w:rsidRPr="007629A4">
              <w:rPr>
                <w:noProof/>
                <w:webHidden/>
                <w:sz w:val="22"/>
              </w:rPr>
              <w:fldChar w:fldCharType="separate"/>
            </w:r>
            <w:r>
              <w:rPr>
                <w:noProof/>
                <w:webHidden/>
                <w:sz w:val="22"/>
              </w:rPr>
              <w:t>47</w:t>
            </w:r>
            <w:r w:rsidR="00D53FA8" w:rsidRPr="007629A4">
              <w:rPr>
                <w:noProof/>
                <w:webHidden/>
                <w:sz w:val="22"/>
              </w:rPr>
              <w:fldChar w:fldCharType="end"/>
            </w:r>
          </w:hyperlink>
        </w:p>
        <w:p w14:paraId="01086AC8" w14:textId="77777777" w:rsidR="00D53FA8" w:rsidRPr="007629A4" w:rsidRDefault="00C8772C" w:rsidP="00D53FA8">
          <w:pPr>
            <w:pStyle w:val="TOC2"/>
            <w:rPr>
              <w:rFonts w:asciiTheme="minorHAnsi" w:eastAsiaTheme="minorEastAsia" w:hAnsiTheme="minorHAnsi"/>
              <w:noProof/>
              <w:sz w:val="22"/>
            </w:rPr>
          </w:pPr>
          <w:hyperlink w:anchor="_Toc88138991" w:history="1">
            <w:r w:rsidR="00D53FA8" w:rsidRPr="007629A4">
              <w:rPr>
                <w:rStyle w:val="Hyperlink"/>
                <w:noProof/>
                <w:sz w:val="22"/>
                <w:lang w:val="hy-AM"/>
              </w:rPr>
              <w:t>4.3. Կառավարության պարտքի կառավարումը` մակրոտնտեսական կայունության հենք</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_Toc88138991 \h </w:instrText>
            </w:r>
            <w:r w:rsidR="00D53FA8" w:rsidRPr="007629A4">
              <w:rPr>
                <w:noProof/>
                <w:webHidden/>
                <w:sz w:val="22"/>
              </w:rPr>
            </w:r>
            <w:r w:rsidR="00D53FA8" w:rsidRPr="007629A4">
              <w:rPr>
                <w:noProof/>
                <w:webHidden/>
                <w:sz w:val="22"/>
              </w:rPr>
              <w:fldChar w:fldCharType="separate"/>
            </w:r>
            <w:r>
              <w:rPr>
                <w:noProof/>
                <w:webHidden/>
                <w:sz w:val="22"/>
              </w:rPr>
              <w:t>49</w:t>
            </w:r>
            <w:r w:rsidR="00D53FA8" w:rsidRPr="007629A4">
              <w:rPr>
                <w:noProof/>
                <w:webHidden/>
                <w:sz w:val="22"/>
              </w:rPr>
              <w:fldChar w:fldCharType="end"/>
            </w:r>
          </w:hyperlink>
        </w:p>
        <w:p w14:paraId="7A46F7B2" w14:textId="38FB0E27" w:rsidR="007E00BB" w:rsidRPr="007629A4" w:rsidRDefault="00C8772C" w:rsidP="007629A4">
          <w:pPr>
            <w:pStyle w:val="TOC1"/>
            <w:tabs>
              <w:tab w:val="right" w:leader="dot" w:pos="9062"/>
            </w:tabs>
            <w:ind w:firstLine="0"/>
            <w:rPr>
              <w:sz w:val="22"/>
            </w:rPr>
          </w:pPr>
          <w:hyperlink w:anchor="_Toc88138992" w:history="1">
            <w:r w:rsidR="00D53FA8" w:rsidRPr="007629A4">
              <w:rPr>
                <w:rStyle w:val="Hyperlink"/>
                <w:noProof/>
                <w:sz w:val="22"/>
                <w:lang w:val="hy-AM"/>
              </w:rPr>
              <w:t>ԱՄՓՈՓՈՒՄ</w:t>
            </w:r>
            <w:r w:rsidR="00D53FA8" w:rsidRPr="007629A4">
              <w:rPr>
                <w:noProof/>
                <w:webHidden/>
                <w:sz w:val="22"/>
              </w:rPr>
              <w:tab/>
            </w:r>
            <w:r w:rsidR="00D53FA8" w:rsidRPr="007629A4">
              <w:rPr>
                <w:noProof/>
                <w:webHidden/>
                <w:sz w:val="22"/>
              </w:rPr>
              <w:fldChar w:fldCharType="begin"/>
            </w:r>
            <w:r w:rsidR="00D53FA8" w:rsidRPr="007629A4">
              <w:rPr>
                <w:noProof/>
                <w:webHidden/>
                <w:sz w:val="22"/>
              </w:rPr>
              <w:instrText xml:space="preserve"> PAGEREF _Toc88138992 \h </w:instrText>
            </w:r>
            <w:r w:rsidR="00D53FA8" w:rsidRPr="007629A4">
              <w:rPr>
                <w:noProof/>
                <w:webHidden/>
                <w:sz w:val="22"/>
              </w:rPr>
            </w:r>
            <w:r w:rsidR="00D53FA8" w:rsidRPr="007629A4">
              <w:rPr>
                <w:noProof/>
                <w:webHidden/>
                <w:sz w:val="22"/>
              </w:rPr>
              <w:fldChar w:fldCharType="separate"/>
            </w:r>
            <w:r>
              <w:rPr>
                <w:noProof/>
                <w:webHidden/>
                <w:sz w:val="22"/>
              </w:rPr>
              <w:t>54</w:t>
            </w:r>
            <w:r w:rsidR="00D53FA8" w:rsidRPr="007629A4">
              <w:rPr>
                <w:noProof/>
                <w:webHidden/>
                <w:sz w:val="22"/>
              </w:rPr>
              <w:fldChar w:fldCharType="end"/>
            </w:r>
          </w:hyperlink>
          <w:r w:rsidR="003F03A5" w:rsidRPr="007629A4">
            <w:rPr>
              <w:b/>
              <w:bCs/>
              <w:noProof/>
              <w:sz w:val="22"/>
            </w:rPr>
            <w:fldChar w:fldCharType="end"/>
          </w:r>
        </w:p>
      </w:sdtContent>
    </w:sdt>
    <w:bookmarkStart w:id="0" w:name="_Toc88138973"/>
    <w:p w14:paraId="0F995BBB" w14:textId="5474F5B6" w:rsidR="00CF5637" w:rsidRPr="00F4691D" w:rsidRDefault="00F4691D" w:rsidP="00F4691D">
      <w:pPr>
        <w:pStyle w:val="Heading1"/>
      </w:pPr>
      <w:r w:rsidRPr="00F4691D">
        <w:rPr>
          <w:i/>
          <w:noProof/>
          <w:sz w:val="24"/>
          <w:lang w:val="en-US"/>
        </w:rPr>
        <w:lastRenderedPageBreak/>
        <mc:AlternateContent>
          <mc:Choice Requires="wps">
            <w:drawing>
              <wp:anchor distT="0" distB="0" distL="114300" distR="114300" simplePos="0" relativeHeight="251661312" behindDoc="1" locked="0" layoutInCell="1" allowOverlap="1" wp14:anchorId="102B71F8" wp14:editId="66982C76">
                <wp:simplePos x="0" y="0"/>
                <wp:positionH relativeFrom="margin">
                  <wp:posOffset>-2203450</wp:posOffset>
                </wp:positionH>
                <wp:positionV relativeFrom="paragraph">
                  <wp:posOffset>-31750</wp:posOffset>
                </wp:positionV>
                <wp:extent cx="3381375" cy="320040"/>
                <wp:effectExtent l="0" t="0" r="9525" b="3810"/>
                <wp:wrapNone/>
                <wp:docPr id="8" name="Прямоугольник 3"/>
                <wp:cNvGraphicFramePr/>
                <a:graphic xmlns:a="http://schemas.openxmlformats.org/drawingml/2006/main">
                  <a:graphicData uri="http://schemas.microsoft.com/office/word/2010/wordprocessingShape">
                    <wps:wsp>
                      <wps:cNvSpPr/>
                      <wps:spPr>
                        <a:xfrm>
                          <a:off x="0" y="0"/>
                          <a:ext cx="3381375" cy="320040"/>
                        </a:xfrm>
                        <a:prstGeom prst="rect">
                          <a:avLst/>
                        </a:prstGeom>
                        <a:solidFill>
                          <a:srgbClr val="00B3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37E325" id="Прямоугольник 3" o:spid="_x0000_s1026" style="position:absolute;margin-left:-173.5pt;margin-top:-2.5pt;width:266.25pt;height:25.2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" fillcolor="#00b3c4" stroked="f" strokeweight="1pt">
                <w10:wrap anchorx="margin"/>
              </v:rect>
            </w:pict>
          </mc:Fallback>
        </mc:AlternateContent>
      </w:r>
      <w:r w:rsidR="00EC364E" w:rsidRPr="00F4691D">
        <w:t>ՆԱԽԱԲԱՆ</w:t>
      </w:r>
      <w:bookmarkEnd w:id="0"/>
    </w:p>
    <w:p w14:paraId="4888FFA4" w14:textId="22AED3EF" w:rsidR="00133F0E" w:rsidRPr="00990C39" w:rsidRDefault="00133F0E" w:rsidP="008F5026">
      <w:pPr>
        <w:spacing w:after="120"/>
        <w:rPr>
          <w:lang w:val="hy-AM"/>
        </w:rPr>
      </w:pPr>
      <w:r>
        <w:rPr>
          <w:lang w:val="hy-AM"/>
        </w:rPr>
        <w:t>ՀՀ գործադիր իշխանությունների համար պետության կառավարման հիմնարար ուղենիշային փաստաթուղթը ՀՀ կառավարության ծրագիրն է, որով գործադիր մարմինը սահմանում է առաջիկա 5 տարիներին երկրի զարգացման իր տեսլականը</w:t>
      </w:r>
      <w:r w:rsidR="00603BE1">
        <w:rPr>
          <w:lang w:val="hy-AM"/>
        </w:rPr>
        <w:t>,</w:t>
      </w:r>
      <w:r>
        <w:rPr>
          <w:lang w:val="hy-AM"/>
        </w:rPr>
        <w:t xml:space="preserve"> այդ թվում</w:t>
      </w:r>
      <w:r w:rsidR="00603BE1">
        <w:rPr>
          <w:lang w:val="hy-AM"/>
        </w:rPr>
        <w:t>՝</w:t>
      </w:r>
      <w:r>
        <w:rPr>
          <w:lang w:val="hy-AM"/>
        </w:rPr>
        <w:t xml:space="preserve"> պետության տնտեսական և սոցիալական առաջընթացի մասով:</w:t>
      </w:r>
      <w:r w:rsidR="00AB6063" w:rsidRPr="00186240">
        <w:rPr>
          <w:lang w:val="hy-AM"/>
        </w:rPr>
        <w:t xml:space="preserve"> </w:t>
      </w:r>
      <w:r>
        <w:rPr>
          <w:lang w:val="hy-AM"/>
        </w:rPr>
        <w:t>Սույն հետազոտության նպատակն է ուսումնասիրել 2018թ. իշխանափոխությունից հետո ՀՀ կառավարության որդեգրած տնտեսական քաղաքականության</w:t>
      </w:r>
      <w:r w:rsidRPr="00990C39">
        <w:rPr>
          <w:lang w:val="hy-AM"/>
        </w:rPr>
        <w:t xml:space="preserve"> </w:t>
      </w:r>
      <w:r>
        <w:rPr>
          <w:lang w:val="hy-AM"/>
        </w:rPr>
        <w:t>առանցքային թիրախները, վերլուծել դրանց մասով գրանցված արդյունքները, ինչպես նաև նշված համատեքստում ներկայացնել ՀՀ կառավարության սահամանած առաջնահերթություններն առաջիկա տարիների համար և գնահատել դրանց իրատեսականությունը: Հետազոտության համար հիմք են հանդիսացե</w:t>
      </w:r>
      <w:bookmarkStart w:id="1" w:name="_GoBack"/>
      <w:bookmarkEnd w:id="1"/>
      <w:r>
        <w:rPr>
          <w:lang w:val="hy-AM"/>
        </w:rPr>
        <w:t>լ ՀՀ կառավարության</w:t>
      </w:r>
      <w:r w:rsidR="00AB6063" w:rsidRPr="00186240">
        <w:rPr>
          <w:lang w:val="hy-AM"/>
        </w:rPr>
        <w:t>`</w:t>
      </w:r>
      <w:r>
        <w:rPr>
          <w:lang w:val="hy-AM"/>
        </w:rPr>
        <w:t xml:space="preserve"> 2019</w:t>
      </w:r>
      <w:r>
        <w:rPr>
          <w:rStyle w:val="FootnoteReference"/>
          <w:lang w:val="hy-AM"/>
        </w:rPr>
        <w:footnoteReference w:id="1"/>
      </w:r>
      <w:r>
        <w:rPr>
          <w:lang w:val="hy-AM"/>
        </w:rPr>
        <w:t xml:space="preserve"> և 2021</w:t>
      </w:r>
      <w:r>
        <w:rPr>
          <w:rStyle w:val="FootnoteReference"/>
          <w:lang w:val="hy-AM"/>
        </w:rPr>
        <w:footnoteReference w:id="2"/>
      </w:r>
      <w:r>
        <w:rPr>
          <w:lang w:val="hy-AM"/>
        </w:rPr>
        <w:t xml:space="preserve"> </w:t>
      </w:r>
      <w:r w:rsidR="00603BE1">
        <w:rPr>
          <w:lang w:val="hy-AM"/>
        </w:rPr>
        <w:t>թվականների</w:t>
      </w:r>
      <w:r w:rsidR="00AB6063">
        <w:rPr>
          <w:lang w:val="hy-AM"/>
        </w:rPr>
        <w:t xml:space="preserve"> </w:t>
      </w:r>
      <w:r>
        <w:rPr>
          <w:lang w:val="hy-AM"/>
        </w:rPr>
        <w:t>ծրագրերը</w:t>
      </w:r>
      <w:r w:rsidR="00D50086">
        <w:rPr>
          <w:lang w:val="hy-AM"/>
        </w:rPr>
        <w:t>, ինչպես նաև 2022-2024թթ. միջնաժամկետ ծախսերի ծրագիրը</w:t>
      </w:r>
      <w:r w:rsidR="00D50086">
        <w:rPr>
          <w:rStyle w:val="FootnoteReference"/>
          <w:lang w:val="hy-AM"/>
        </w:rPr>
        <w:footnoteReference w:id="3"/>
      </w:r>
      <w:r w:rsidR="00D50086">
        <w:rPr>
          <w:lang w:val="hy-AM"/>
        </w:rPr>
        <w:t xml:space="preserve"> </w:t>
      </w:r>
      <w:r w:rsidR="00D50086" w:rsidRPr="00186240">
        <w:rPr>
          <w:lang w:val="hy-AM"/>
        </w:rPr>
        <w:t>(</w:t>
      </w:r>
      <w:r w:rsidR="00D50086">
        <w:rPr>
          <w:lang w:val="hy-AM"/>
        </w:rPr>
        <w:t>ՄԺԾԾ</w:t>
      </w:r>
      <w:r w:rsidR="00D50086" w:rsidRPr="00186240">
        <w:rPr>
          <w:lang w:val="hy-AM"/>
        </w:rPr>
        <w:t>)</w:t>
      </w:r>
      <w:r w:rsidR="0021273C">
        <w:rPr>
          <w:lang w:val="hy-AM"/>
        </w:rPr>
        <w:t xml:space="preserve"> և ՀՀ 2022թ. պետական բյուջեի նախագիծը</w:t>
      </w:r>
      <w:r w:rsidR="0021273C">
        <w:rPr>
          <w:rStyle w:val="FootnoteReference"/>
          <w:lang w:val="hy-AM"/>
        </w:rPr>
        <w:footnoteReference w:id="4"/>
      </w:r>
      <w:r w:rsidR="0021273C">
        <w:rPr>
          <w:lang w:val="hy-AM"/>
        </w:rPr>
        <w:t>:</w:t>
      </w:r>
    </w:p>
    <w:p w14:paraId="4AC41E7E" w14:textId="60563764" w:rsidR="00133F0E" w:rsidRPr="00B96FD7" w:rsidRDefault="00133F0E" w:rsidP="008F5026">
      <w:pPr>
        <w:spacing w:after="120"/>
        <w:rPr>
          <w:lang w:val="hy-AM"/>
        </w:rPr>
      </w:pPr>
      <w:r>
        <w:rPr>
          <w:lang w:val="hy-AM"/>
        </w:rPr>
        <w:t xml:space="preserve">Հետազոտության </w:t>
      </w:r>
      <w:r w:rsidRPr="003D3EEB">
        <w:rPr>
          <w:b/>
          <w:lang w:val="hy-AM"/>
        </w:rPr>
        <w:t>առաջին բաժնում</w:t>
      </w:r>
      <w:r>
        <w:rPr>
          <w:lang w:val="hy-AM"/>
        </w:rPr>
        <w:t xml:space="preserve"> վերլուծվել է տնտեսական աճի` ՀՀ կառավարության որդեգրած քաղաքականությունը: </w:t>
      </w:r>
      <w:r w:rsidRPr="003D3EEB">
        <w:rPr>
          <w:b/>
          <w:lang w:val="hy-AM"/>
        </w:rPr>
        <w:t>Երկրորդ բաժնում</w:t>
      </w:r>
      <w:r>
        <w:rPr>
          <w:lang w:val="hy-AM"/>
        </w:rPr>
        <w:t xml:space="preserve"> անդրադարձ է կատարվել ՀՀ կառավարության տնտեսական քաղաքականության հիմնական թիրախներին, որոնք միասին ձևավորում են երկրի տնտեսական միջավայրը: </w:t>
      </w:r>
      <w:r w:rsidRPr="003D3EEB">
        <w:rPr>
          <w:b/>
          <w:lang w:val="hy-AM"/>
        </w:rPr>
        <w:t>Երրորդ բաժնում</w:t>
      </w:r>
      <w:r>
        <w:rPr>
          <w:lang w:val="hy-AM"/>
        </w:rPr>
        <w:t xml:space="preserve"> ներկայացվել են մարդկային կապիտալի զարգացման և սոցիալական պաշտպանության ուղղությամբ ՀՀ կառավարության որդեգրած քաղաքականությունները, որոնք վճռորոշ են բնակչության կյանքի որակի բարելավման համատեքստում: Վերջին` </w:t>
      </w:r>
      <w:r w:rsidRPr="003D3EEB">
        <w:rPr>
          <w:b/>
          <w:lang w:val="hy-AM"/>
        </w:rPr>
        <w:t>չորրորդ բաժնում</w:t>
      </w:r>
      <w:r>
        <w:rPr>
          <w:lang w:val="hy-AM"/>
        </w:rPr>
        <w:t xml:space="preserve"> գնահատվել է ՀՀ կառավարության առաջնային գործառույթի` հանրային ֆինանսների կառավարման ազդեցությունը 2018թ. իշխանափոխությունից հետո ՀՀ-ում ստեղծված սոցիալ-տնտեսական իրավիճակի վրա, ինչպես նաև այդ մասով սպասվող ակնկալիքները:</w:t>
      </w:r>
    </w:p>
    <w:p w14:paraId="0960D65A" w14:textId="6DAF9F17" w:rsidR="00EC364E" w:rsidRPr="00186240" w:rsidRDefault="00133F0E" w:rsidP="008F5026">
      <w:pPr>
        <w:spacing w:after="0"/>
        <w:rPr>
          <w:lang w:val="hy-AM"/>
        </w:rPr>
      </w:pPr>
      <w:r w:rsidRPr="005D1850">
        <w:rPr>
          <w:b/>
          <w:lang w:val="hy-AM"/>
        </w:rPr>
        <w:t xml:space="preserve">Հետազոտության արդյունքները փաստում են, որ </w:t>
      </w:r>
      <w:r w:rsidRPr="00186240">
        <w:rPr>
          <w:b/>
          <w:lang w:val="hy-AM"/>
        </w:rPr>
        <w:t>2018</w:t>
      </w:r>
      <w:r w:rsidR="00934F37">
        <w:rPr>
          <w:b/>
          <w:lang w:val="hy-AM"/>
        </w:rPr>
        <w:t>-ից</w:t>
      </w:r>
      <w:r>
        <w:rPr>
          <w:b/>
          <w:lang w:val="hy-AM"/>
        </w:rPr>
        <w:t xml:space="preserve"> ի վեր</w:t>
      </w:r>
      <w:r w:rsidRPr="005D1850">
        <w:rPr>
          <w:b/>
          <w:lang w:val="hy-AM"/>
        </w:rPr>
        <w:t xml:space="preserve"> ՀՀ կառավարությանը չի հաջողվել </w:t>
      </w:r>
      <w:r w:rsidR="002336D4">
        <w:rPr>
          <w:b/>
          <w:lang w:val="hy-AM"/>
        </w:rPr>
        <w:t>տնտեսական</w:t>
      </w:r>
      <w:r w:rsidR="002336D4" w:rsidRPr="005D1850">
        <w:rPr>
          <w:b/>
          <w:lang w:val="hy-AM"/>
        </w:rPr>
        <w:t xml:space="preserve"> </w:t>
      </w:r>
      <w:r w:rsidRPr="005D1850">
        <w:rPr>
          <w:b/>
          <w:lang w:val="hy-AM"/>
        </w:rPr>
        <w:t>թիրախների մասով գրանցել էական ձեռքբերումներ, իսկ դրանց</w:t>
      </w:r>
      <w:r w:rsidR="00934F37">
        <w:rPr>
          <w:b/>
          <w:lang w:val="hy-AM"/>
        </w:rPr>
        <w:t xml:space="preserve"> որոշ մասը</w:t>
      </w:r>
      <w:r w:rsidRPr="005D1850">
        <w:rPr>
          <w:b/>
          <w:lang w:val="hy-AM"/>
        </w:rPr>
        <w:t xml:space="preserve"> ամբողջ</w:t>
      </w:r>
      <w:r w:rsidR="00934F37">
        <w:rPr>
          <w:b/>
          <w:lang w:val="hy-AM"/>
        </w:rPr>
        <w:t>ովին</w:t>
      </w:r>
      <w:r w:rsidRPr="005D1850">
        <w:rPr>
          <w:b/>
          <w:lang w:val="hy-AM"/>
        </w:rPr>
        <w:t xml:space="preserve"> ձախողվել </w:t>
      </w:r>
      <w:r w:rsidR="00934F37">
        <w:rPr>
          <w:b/>
          <w:lang w:val="hy-AM"/>
        </w:rPr>
        <w:t>է</w:t>
      </w:r>
      <w:r w:rsidRPr="005D1850">
        <w:rPr>
          <w:b/>
          <w:lang w:val="hy-AM"/>
        </w:rPr>
        <w:t xml:space="preserve">: Մյուս կողմից` առաջիկա տարիների համար ՀՀ կառավարության </w:t>
      </w:r>
      <w:r>
        <w:rPr>
          <w:b/>
          <w:lang w:val="hy-AM"/>
        </w:rPr>
        <w:t>ներկայացրած թիրախները</w:t>
      </w:r>
      <w:r w:rsidRPr="005D1850">
        <w:rPr>
          <w:b/>
          <w:lang w:val="hy-AM"/>
        </w:rPr>
        <w:t xml:space="preserve"> չափազանց լավատեսական են, իսկ հաճախ` անիրատեսական, ինչը բավական ռիսկային է դարձնում ՀՀ </w:t>
      </w:r>
      <w:r w:rsidR="00A9569A">
        <w:rPr>
          <w:b/>
          <w:lang w:val="hy-AM"/>
        </w:rPr>
        <w:t>տնտեսության</w:t>
      </w:r>
      <w:r w:rsidRPr="005D1850">
        <w:rPr>
          <w:b/>
          <w:lang w:val="hy-AM"/>
        </w:rPr>
        <w:t xml:space="preserve"> վերականգնման հեռանկարը և մեծացնում կառավարության ձախողման հավանականությունը: </w:t>
      </w:r>
      <w:r w:rsidRPr="005D1850">
        <w:rPr>
          <w:b/>
          <w:lang w:val="hy-AM"/>
        </w:rPr>
        <w:lastRenderedPageBreak/>
        <w:t xml:space="preserve">Ընդ որում, </w:t>
      </w:r>
      <w:r w:rsidR="00D36D96">
        <w:rPr>
          <w:b/>
          <w:lang w:val="hy-AM"/>
        </w:rPr>
        <w:t>նշված ռիսկային միջավայրը ձևավորվում է հիմնականում գործադիր իշխանության</w:t>
      </w:r>
      <w:r w:rsidR="006D20BB">
        <w:rPr>
          <w:b/>
          <w:lang w:val="hy-AM"/>
        </w:rPr>
        <w:t>`</w:t>
      </w:r>
      <w:r w:rsidR="00D36D96">
        <w:rPr>
          <w:b/>
          <w:lang w:val="hy-AM"/>
        </w:rPr>
        <w:t xml:space="preserve"> սահմանված թիրախներին հասնելու </w:t>
      </w:r>
      <w:r w:rsidR="00E33582" w:rsidRPr="00F81295">
        <w:rPr>
          <w:i/>
          <w:noProof/>
          <w:color w:val="FFFFFF" w:themeColor="background1"/>
        </w:rPr>
        <mc:AlternateContent>
          <mc:Choice Requires="wps">
            <w:drawing>
              <wp:anchor distT="0" distB="0" distL="114300" distR="114300" simplePos="0" relativeHeight="251663360" behindDoc="1" locked="0" layoutInCell="1" allowOverlap="1" wp14:anchorId="60D60AD2" wp14:editId="76DC1824">
                <wp:simplePos x="0" y="0"/>
                <wp:positionH relativeFrom="margin">
                  <wp:posOffset>-1975485</wp:posOffset>
                </wp:positionH>
                <wp:positionV relativeFrom="paragraph">
                  <wp:posOffset>800100</wp:posOffset>
                </wp:positionV>
                <wp:extent cx="6210300" cy="320040"/>
                <wp:effectExtent l="0" t="0" r="0" b="3810"/>
                <wp:wrapNone/>
                <wp:docPr id="9" name="Прямоугольник 3"/>
                <wp:cNvGraphicFramePr/>
                <a:graphic xmlns:a="http://schemas.openxmlformats.org/drawingml/2006/main">
                  <a:graphicData uri="http://schemas.microsoft.com/office/word/2010/wordprocessingShape">
                    <wps:wsp>
                      <wps:cNvSpPr/>
                      <wps:spPr>
                        <a:xfrm>
                          <a:off x="0" y="0"/>
                          <a:ext cx="6210300" cy="320040"/>
                        </a:xfrm>
                        <a:prstGeom prst="rect">
                          <a:avLst/>
                        </a:prstGeom>
                        <a:solidFill>
                          <a:srgbClr val="00B3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65F8B" id="Прямоугольник 3" o:spid="_x0000_s1026" style="position:absolute;margin-left:-155.55pt;margin-top:63pt;width:489pt;height:25.2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" fillcolor="#00b3c4" stroked="f" strokeweight="1pt">
                <w10:wrap anchorx="margin"/>
              </v:rect>
            </w:pict>
          </mc:Fallback>
        </mc:AlternateContent>
      </w:r>
      <w:r w:rsidR="00D36D96">
        <w:rPr>
          <w:b/>
          <w:lang w:val="hy-AM"/>
        </w:rPr>
        <w:t>անընդունակության և անարդյունավետ կառավարման արդյունքում:</w:t>
      </w:r>
    </w:p>
    <w:p w14:paraId="630BDDC3" w14:textId="67EF9839" w:rsidR="0044268B" w:rsidRPr="00C21A75" w:rsidRDefault="005F33E6" w:rsidP="00F4691D">
      <w:pPr>
        <w:pStyle w:val="Heading1"/>
        <w:rPr>
          <w:sz w:val="22"/>
        </w:rPr>
      </w:pPr>
      <w:bookmarkStart w:id="2" w:name="_Toc88138974"/>
      <w:r w:rsidRPr="00186240">
        <w:t xml:space="preserve">1. </w:t>
      </w:r>
      <w:r w:rsidR="00BB4527" w:rsidRPr="00C21A75">
        <w:t>ՏՆՏԵՍԱԿԱՆ ԱՃԻ ՔԱՂԱՔԱԿԱՆՈՒԹՅՈՒՆԸ</w:t>
      </w:r>
      <w:bookmarkEnd w:id="2"/>
    </w:p>
    <w:p w14:paraId="59475BFA" w14:textId="7E3F06DD" w:rsidR="00531650" w:rsidRPr="006D1CA5" w:rsidRDefault="00374DFB" w:rsidP="00D01BBA">
      <w:pPr>
        <w:spacing w:before="240"/>
        <w:rPr>
          <w:lang w:val="hy-AM"/>
        </w:rPr>
      </w:pPr>
      <w:r>
        <w:rPr>
          <w:lang w:val="hy-AM"/>
        </w:rPr>
        <w:t>Պ</w:t>
      </w:r>
      <w:r w:rsidR="00491CA2">
        <w:rPr>
          <w:lang w:val="hy-AM"/>
        </w:rPr>
        <w:t xml:space="preserve">ետական տնտեսական քաղաքականության կարևորագույն </w:t>
      </w:r>
      <w:r w:rsidR="00F3700A">
        <w:rPr>
          <w:lang w:val="hy-AM"/>
        </w:rPr>
        <w:t>թիրախը</w:t>
      </w:r>
      <w:r w:rsidR="00491CA2">
        <w:rPr>
          <w:lang w:val="hy-AM"/>
        </w:rPr>
        <w:t>, թերևս, տնտեսական աճի</w:t>
      </w:r>
      <w:r w:rsidR="00A230CE">
        <w:rPr>
          <w:rStyle w:val="FootnoteReference"/>
          <w:lang w:val="hy-AM"/>
        </w:rPr>
        <w:footnoteReference w:id="5"/>
      </w:r>
      <w:r w:rsidR="00491CA2">
        <w:rPr>
          <w:lang w:val="hy-AM"/>
        </w:rPr>
        <w:t xml:space="preserve"> խթանումն է` ինչպես կարճաժամկետ, այնպես էլ երկարաժամկետ հորիզոնում: </w:t>
      </w:r>
      <w:r w:rsidR="00465A34">
        <w:rPr>
          <w:lang w:val="hy-AM"/>
        </w:rPr>
        <w:t>Այդուհանդերձ, բարձր տնտեսական աճի թիրախավորում</w:t>
      </w:r>
      <w:r>
        <w:rPr>
          <w:lang w:val="hy-AM"/>
        </w:rPr>
        <w:t>ն</w:t>
      </w:r>
      <w:r w:rsidR="00465A34">
        <w:rPr>
          <w:lang w:val="hy-AM"/>
        </w:rPr>
        <w:t xml:space="preserve"> ինքնին բավարար չէ երկրի տնտեսական զարգացումն ապահովելու համար: </w:t>
      </w:r>
      <w:r w:rsidR="005C02FA">
        <w:rPr>
          <w:lang w:val="hy-AM"/>
        </w:rPr>
        <w:t>Անհրաժեշտ է ապահովել տնտեսական</w:t>
      </w:r>
      <w:r w:rsidR="00531650">
        <w:rPr>
          <w:lang w:val="hy-AM"/>
        </w:rPr>
        <w:t xml:space="preserve"> աճի </w:t>
      </w:r>
      <w:r w:rsidR="00936524">
        <w:rPr>
          <w:lang w:val="hy-AM"/>
        </w:rPr>
        <w:t>բարձր</w:t>
      </w:r>
      <w:r w:rsidR="00531650">
        <w:rPr>
          <w:lang w:val="hy-AM"/>
        </w:rPr>
        <w:t xml:space="preserve"> որակ, այսինքն` </w:t>
      </w:r>
      <w:r w:rsidR="005C02FA">
        <w:rPr>
          <w:lang w:val="hy-AM"/>
        </w:rPr>
        <w:t>վարել</w:t>
      </w:r>
      <w:r w:rsidR="00531650">
        <w:rPr>
          <w:lang w:val="hy-AM"/>
        </w:rPr>
        <w:t xml:space="preserve"> այնպիսի տնտեսական քաղաքականություն, </w:t>
      </w:r>
      <w:r w:rsidR="005C02FA">
        <w:rPr>
          <w:lang w:val="hy-AM"/>
        </w:rPr>
        <w:t>ինչի</w:t>
      </w:r>
      <w:r w:rsidR="00531650">
        <w:rPr>
          <w:lang w:val="hy-AM"/>
        </w:rPr>
        <w:t xml:space="preserve"> արդյունքում աճը պայմանավորող գործոնները կլինեն պերմանենտ` գեներացնելով հավելյալ արժեք և </w:t>
      </w:r>
      <w:r w:rsidR="00D6793C">
        <w:rPr>
          <w:lang w:val="hy-AM"/>
        </w:rPr>
        <w:t>կ</w:t>
      </w:r>
      <w:r w:rsidR="00531650">
        <w:rPr>
          <w:lang w:val="hy-AM"/>
        </w:rPr>
        <w:t>նպաստ</w:t>
      </w:r>
      <w:r w:rsidR="00D6793C">
        <w:rPr>
          <w:lang w:val="hy-AM"/>
        </w:rPr>
        <w:t>են</w:t>
      </w:r>
      <w:r w:rsidR="00531650">
        <w:rPr>
          <w:lang w:val="hy-AM"/>
        </w:rPr>
        <w:t xml:space="preserve"> տնտեսության ներուժի ընդլայնմանը:</w:t>
      </w:r>
      <w:r w:rsidR="004710B5">
        <w:rPr>
          <w:lang w:val="hy-AM"/>
        </w:rPr>
        <w:t xml:space="preserve"> Ընդ որում, տնտեսական աճի որակ ասելով նկատի ունենք </w:t>
      </w:r>
      <w:r w:rsidR="00DD380D">
        <w:rPr>
          <w:lang w:val="hy-AM"/>
        </w:rPr>
        <w:t>ինչպես տնտեսական աճի կառուցվածքը</w:t>
      </w:r>
      <w:r w:rsidR="00DD380D">
        <w:rPr>
          <w:rStyle w:val="FootnoteReference"/>
          <w:lang w:val="hy-AM"/>
        </w:rPr>
        <w:footnoteReference w:id="6"/>
      </w:r>
      <w:r w:rsidR="000B7E26">
        <w:rPr>
          <w:lang w:val="hy-AM"/>
        </w:rPr>
        <w:t>, այնպես էլ աճի ներառականությունը</w:t>
      </w:r>
      <w:r w:rsidR="000B7E26">
        <w:rPr>
          <w:rStyle w:val="FootnoteReference"/>
          <w:lang w:val="hy-AM"/>
        </w:rPr>
        <w:footnoteReference w:id="7"/>
      </w:r>
      <w:r w:rsidR="00CE7241">
        <w:rPr>
          <w:lang w:val="hy-AM"/>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D260D5" w:rsidRPr="00D00797" w14:paraId="70BC873A" w14:textId="77777777" w:rsidTr="009135C1">
        <w:tc>
          <w:tcPr>
            <w:tcW w:w="9062" w:type="dxa"/>
            <w:shd w:val="clear" w:color="auto" w:fill="EDEDED" w:themeFill="accent3" w:themeFillTint="33"/>
          </w:tcPr>
          <w:p w14:paraId="21A0735E" w14:textId="77777777" w:rsidR="00D260D5" w:rsidRPr="009E6E07" w:rsidRDefault="00D260D5" w:rsidP="00526A59">
            <w:pPr>
              <w:spacing w:before="60" w:after="60" w:line="276" w:lineRule="auto"/>
              <w:jc w:val="center"/>
              <w:rPr>
                <w:color w:val="00B0F0"/>
                <w:sz w:val="22"/>
                <w:lang w:val="hy-AM"/>
              </w:rPr>
            </w:pPr>
            <w:r w:rsidRPr="009E6E07">
              <w:rPr>
                <w:color w:val="00B0F0"/>
                <w:sz w:val="22"/>
                <w:lang w:val="hy-AM"/>
              </w:rPr>
              <w:t>ՀՀ կառավարության 2019թ. ծրագիր</w:t>
            </w:r>
          </w:p>
          <w:p w14:paraId="2376A60E" w14:textId="6C05F3EF" w:rsidR="00526A59" w:rsidRPr="00526A59" w:rsidRDefault="00633AAF" w:rsidP="00526A59">
            <w:pPr>
              <w:pStyle w:val="ListParagraph"/>
              <w:numPr>
                <w:ilvl w:val="0"/>
                <w:numId w:val="6"/>
              </w:numPr>
              <w:spacing w:before="60" w:after="60" w:line="276" w:lineRule="auto"/>
              <w:ind w:left="313" w:hanging="284"/>
              <w:rPr>
                <w:sz w:val="20"/>
                <w:lang w:val="hy-AM"/>
              </w:rPr>
            </w:pPr>
            <w:r w:rsidRPr="00526A59">
              <w:rPr>
                <w:sz w:val="20"/>
                <w:lang w:val="hy-AM"/>
              </w:rPr>
              <w:t xml:space="preserve">Կառավարության առաջիկա տնտեսական քաղաքականության հիմնական առանձնահատկությունը լինելու է ներառական տնտեսական աճի խթանումը: </w:t>
            </w:r>
            <w:r w:rsidR="00D260D5" w:rsidRPr="00526A59">
              <w:rPr>
                <w:b/>
                <w:sz w:val="20"/>
                <w:lang w:val="hy-AM"/>
              </w:rPr>
              <w:t>Տնտեսությունը պետք է աճի բարձր տեմպերով` ծրագրային ժամանակահատվածում ՀՆԱ-ի աճի միջին տեմպը պետք է կազմի առնվազն 5</w:t>
            </w:r>
            <w:r w:rsidR="00D260D5" w:rsidRPr="00186240">
              <w:rPr>
                <w:b/>
                <w:sz w:val="20"/>
                <w:lang w:val="hy-AM"/>
              </w:rPr>
              <w:t>%:</w:t>
            </w:r>
            <w:r w:rsidRPr="00526A59">
              <w:rPr>
                <w:sz w:val="20"/>
                <w:lang w:val="hy-AM"/>
              </w:rPr>
              <w:t xml:space="preserve"> </w:t>
            </w:r>
          </w:p>
          <w:p w14:paraId="19CD36D0" w14:textId="77777777" w:rsidR="00D260D5" w:rsidRPr="00526A59" w:rsidRDefault="00633AAF" w:rsidP="00526A59">
            <w:pPr>
              <w:pStyle w:val="ListParagraph"/>
              <w:numPr>
                <w:ilvl w:val="0"/>
                <w:numId w:val="6"/>
              </w:numPr>
              <w:spacing w:before="60" w:after="60" w:line="276" w:lineRule="auto"/>
              <w:ind w:left="313" w:hanging="284"/>
              <w:rPr>
                <w:lang w:val="hy-AM"/>
              </w:rPr>
            </w:pPr>
            <w:r w:rsidRPr="00526A59">
              <w:rPr>
                <w:sz w:val="20"/>
                <w:lang w:val="hy-AM"/>
              </w:rPr>
              <w:t xml:space="preserve">Տնտեսական քաղաքականության հիմքում լինելու է արտահանմանը, զբաղվածության ընդլայնմանը, աշխատանքի քաջալերմանը միտված ներդրումային քաղաքականությունը: Արդյունքում, տնտեսության կառուցվածքը պետք է էական փոփոխություններ կրի. բարձր տեխնոլոգիական արդյունաբերությունը պետք է դառնա տնտեսության լոկոմոտիվը: </w:t>
            </w:r>
          </w:p>
        </w:tc>
      </w:tr>
    </w:tbl>
    <w:p w14:paraId="1379FED2" w14:textId="3978BD9B" w:rsidR="003A6941" w:rsidRDefault="00C57E07" w:rsidP="0006755C">
      <w:pPr>
        <w:spacing w:before="240" w:after="0"/>
        <w:rPr>
          <w:lang w:val="hy-AM"/>
        </w:rPr>
      </w:pPr>
      <w:r>
        <w:rPr>
          <w:lang w:val="hy-AM"/>
        </w:rPr>
        <w:t xml:space="preserve">Այսպես, ՀՀ </w:t>
      </w:r>
      <w:r w:rsidR="003A6941">
        <w:rPr>
          <w:lang w:val="hy-AM"/>
        </w:rPr>
        <w:t xml:space="preserve">կառավարության </w:t>
      </w:r>
      <w:r>
        <w:rPr>
          <w:lang w:val="hy-AM"/>
        </w:rPr>
        <w:t>2019թ. ծրագրում շեշտ</w:t>
      </w:r>
      <w:r w:rsidR="003A6941">
        <w:rPr>
          <w:lang w:val="hy-AM"/>
        </w:rPr>
        <w:t>վ</w:t>
      </w:r>
      <w:r>
        <w:rPr>
          <w:lang w:val="hy-AM"/>
        </w:rPr>
        <w:t xml:space="preserve">ում է ինչպես տնտեսական աճի ներառականության, այնպես էլ </w:t>
      </w:r>
      <w:r w:rsidR="004B7688">
        <w:rPr>
          <w:lang w:val="hy-AM"/>
        </w:rPr>
        <w:t>կառուցվածքային փոփոխությունների</w:t>
      </w:r>
      <w:r>
        <w:rPr>
          <w:lang w:val="hy-AM"/>
        </w:rPr>
        <w:t xml:space="preserve"> </w:t>
      </w:r>
      <w:r w:rsidR="00724545">
        <w:rPr>
          <w:lang w:val="hy-AM"/>
        </w:rPr>
        <w:t>կարևորությունը</w:t>
      </w:r>
      <w:r>
        <w:rPr>
          <w:lang w:val="hy-AM"/>
        </w:rPr>
        <w:t>` թիրախավորելով աճի միջին</w:t>
      </w:r>
      <w:r w:rsidR="00FA7CBE" w:rsidRPr="008D325C">
        <w:rPr>
          <w:lang w:val="hy-AM"/>
        </w:rPr>
        <w:t xml:space="preserve"> </w:t>
      </w:r>
      <w:r w:rsidR="00FA7CBE">
        <w:rPr>
          <w:lang w:val="hy-AM"/>
        </w:rPr>
        <w:t>հաշվով</w:t>
      </w:r>
      <w:r>
        <w:rPr>
          <w:lang w:val="hy-AM"/>
        </w:rPr>
        <w:t xml:space="preserve"> 5</w:t>
      </w:r>
      <w:r w:rsidRPr="00186240">
        <w:rPr>
          <w:lang w:val="hy-AM"/>
        </w:rPr>
        <w:t>%</w:t>
      </w:r>
      <w:r>
        <w:rPr>
          <w:lang w:val="hy-AM"/>
        </w:rPr>
        <w:t xml:space="preserve"> </w:t>
      </w:r>
      <w:r w:rsidR="00724545">
        <w:rPr>
          <w:lang w:val="hy-AM"/>
        </w:rPr>
        <w:t>մակարդակ</w:t>
      </w:r>
      <w:r>
        <w:rPr>
          <w:lang w:val="hy-AM"/>
        </w:rPr>
        <w:t>:</w:t>
      </w:r>
      <w:r w:rsidR="00B906A7">
        <w:rPr>
          <w:lang w:val="hy-AM"/>
        </w:rPr>
        <w:t xml:space="preserve"> Իսկ ինչպիսի</w:t>
      </w:r>
      <w:r w:rsidR="004A594A" w:rsidRPr="004A594A">
        <w:rPr>
          <w:lang w:val="hy-AM"/>
        </w:rPr>
        <w:t>՞</w:t>
      </w:r>
      <w:r w:rsidR="00B906A7">
        <w:rPr>
          <w:lang w:val="hy-AM"/>
        </w:rPr>
        <w:t xml:space="preserve">ն է եղել տնտեսական </w:t>
      </w:r>
      <w:r w:rsidR="004A594A">
        <w:rPr>
          <w:lang w:val="hy-AM"/>
        </w:rPr>
        <w:t>աճի քաղաքականությունն</w:t>
      </w:r>
      <w:r w:rsidR="003A6941">
        <w:rPr>
          <w:lang w:val="hy-AM"/>
        </w:rPr>
        <w:t xml:space="preserve"> իրականում`</w:t>
      </w:r>
      <w:r w:rsidR="00B906A7">
        <w:rPr>
          <w:lang w:val="hy-AM"/>
        </w:rPr>
        <w:t xml:space="preserve"> իշխանափոխությունից հետո:</w:t>
      </w:r>
      <w:r w:rsidR="004D0207">
        <w:rPr>
          <w:lang w:val="hy-AM"/>
        </w:rPr>
        <w:t xml:space="preserve"> </w:t>
      </w:r>
    </w:p>
    <w:p w14:paraId="0B9CA8B8" w14:textId="6B06BB4B" w:rsidR="000C7A91" w:rsidRDefault="00765950" w:rsidP="0006755C">
      <w:pPr>
        <w:spacing w:before="240" w:after="0"/>
        <w:rPr>
          <w:lang w:val="hy-AM"/>
        </w:rPr>
      </w:pPr>
      <w:r>
        <w:rPr>
          <w:lang w:val="hy-AM"/>
        </w:rPr>
        <w:lastRenderedPageBreak/>
        <w:t>Տնտեսական աճը 2018-2019թթ. եղել է ՀՀ կառավարության թիրախի շրջանակներում` 2018-ին կազմելով 5.2</w:t>
      </w:r>
      <w:r w:rsidRPr="00186240">
        <w:rPr>
          <w:lang w:val="hy-AM"/>
        </w:rPr>
        <w:t xml:space="preserve">%, </w:t>
      </w:r>
      <w:r>
        <w:rPr>
          <w:lang w:val="hy-AM"/>
        </w:rPr>
        <w:t>իսկ 2019-ին` 7.6</w:t>
      </w:r>
      <w:r w:rsidRPr="00186240">
        <w:rPr>
          <w:lang w:val="hy-AM"/>
        </w:rPr>
        <w:t>%</w:t>
      </w:r>
      <w:r w:rsidR="00736EA1">
        <w:rPr>
          <w:lang w:val="hy-AM"/>
        </w:rPr>
        <w:t xml:space="preserve"> </w:t>
      </w:r>
      <w:r w:rsidR="00736EA1" w:rsidRPr="00186240">
        <w:rPr>
          <w:lang w:val="hy-AM"/>
        </w:rPr>
        <w:t>(</w:t>
      </w:r>
      <w:r w:rsidR="0036589D">
        <w:rPr>
          <w:lang w:val="hy-AM"/>
        </w:rPr>
        <w:t>Գծապատկեր 1</w:t>
      </w:r>
      <w:r w:rsidR="00736EA1" w:rsidRPr="00186240">
        <w:rPr>
          <w:lang w:val="hy-AM"/>
        </w:rPr>
        <w:t>)</w:t>
      </w:r>
      <w:r w:rsidRPr="00186240">
        <w:rPr>
          <w:lang w:val="hy-AM"/>
        </w:rPr>
        <w:t xml:space="preserve">: </w:t>
      </w:r>
      <w:r w:rsidRPr="001C09CF">
        <w:rPr>
          <w:b/>
          <w:lang w:val="hy-AM"/>
        </w:rPr>
        <w:t>Այդուհանդերձ, 2018-2019թթ. գրանցված աճերը չեն ունեցել բարձր որակ` թե</w:t>
      </w:r>
      <w:r w:rsidR="00C00CA3" w:rsidRPr="001C09CF">
        <w:rPr>
          <w:b/>
          <w:lang w:val="hy-AM"/>
        </w:rPr>
        <w:t>՛</w:t>
      </w:r>
      <w:r w:rsidRPr="001C09CF">
        <w:rPr>
          <w:b/>
          <w:lang w:val="hy-AM"/>
        </w:rPr>
        <w:t xml:space="preserve"> աճի կառուցվածքի, թե</w:t>
      </w:r>
      <w:r w:rsidR="00C00CA3" w:rsidRPr="001C09CF">
        <w:rPr>
          <w:b/>
          <w:lang w:val="hy-AM"/>
        </w:rPr>
        <w:t>՛</w:t>
      </w:r>
      <w:r w:rsidRPr="001C09CF">
        <w:rPr>
          <w:b/>
          <w:lang w:val="hy-AM"/>
        </w:rPr>
        <w:t xml:space="preserve"> ներառականության համատեքստում:</w:t>
      </w:r>
    </w:p>
    <w:p w14:paraId="14015D02" w14:textId="77777777" w:rsidR="00E93BF4" w:rsidRDefault="00E93BF4" w:rsidP="00E93BF4">
      <w:pPr>
        <w:spacing w:after="0"/>
        <w:rPr>
          <w:lang w:val="hy-AM"/>
        </w:rPr>
      </w:pPr>
    </w:p>
    <w:p w14:paraId="1359D81E" w14:textId="77777777" w:rsidR="006A5C9C" w:rsidRPr="00186240" w:rsidRDefault="006A5C9C" w:rsidP="00E93BF4">
      <w:pPr>
        <w:spacing w:after="120"/>
        <w:jc w:val="center"/>
        <w:rPr>
          <w:b/>
          <w:lang w:val="hy-AM"/>
        </w:rPr>
      </w:pPr>
      <w:r w:rsidRPr="00692AA5">
        <w:rPr>
          <w:b/>
          <w:lang w:val="hy-AM"/>
        </w:rPr>
        <w:t>Գծապատկեր 1. Տնտեսական աճ</w:t>
      </w:r>
      <w:r w:rsidR="008979A7" w:rsidRPr="00692AA5">
        <w:rPr>
          <w:b/>
          <w:lang w:val="hy-AM"/>
        </w:rPr>
        <w:t>ը</w:t>
      </w:r>
      <w:r w:rsidR="00EB2F84">
        <w:rPr>
          <w:b/>
          <w:lang w:val="hy-AM"/>
        </w:rPr>
        <w:t xml:space="preserve"> </w:t>
      </w:r>
      <w:r w:rsidR="00EB2F84" w:rsidRPr="00186240">
        <w:rPr>
          <w:b/>
          <w:lang w:val="hy-AM"/>
        </w:rPr>
        <w:t>(%)</w:t>
      </w:r>
      <w:r w:rsidR="008979A7" w:rsidRPr="00692AA5">
        <w:rPr>
          <w:b/>
          <w:lang w:val="hy-AM"/>
        </w:rPr>
        <w:t xml:space="preserve">, </w:t>
      </w:r>
      <w:r w:rsidRPr="00692AA5">
        <w:rPr>
          <w:b/>
          <w:lang w:val="hy-AM"/>
        </w:rPr>
        <w:t xml:space="preserve">տնտեսության ճյուղերի նպաստումները </w:t>
      </w:r>
      <w:r w:rsidRPr="00186240">
        <w:rPr>
          <w:b/>
          <w:lang w:val="hy-AM"/>
        </w:rPr>
        <w:t>(</w:t>
      </w:r>
      <w:r w:rsidRPr="00692AA5">
        <w:rPr>
          <w:b/>
          <w:lang w:val="hy-AM"/>
        </w:rPr>
        <w:t>ձախ հատված</w:t>
      </w:r>
      <w:r w:rsidRPr="00186240">
        <w:rPr>
          <w:b/>
          <w:lang w:val="hy-AM"/>
        </w:rPr>
        <w:t>)</w:t>
      </w:r>
      <w:r w:rsidR="008979A7" w:rsidRPr="00692AA5">
        <w:rPr>
          <w:b/>
          <w:lang w:val="hy-AM"/>
        </w:rPr>
        <w:t xml:space="preserve"> և ծախսային բաղադրիչների նպաստումները </w:t>
      </w:r>
      <w:r w:rsidR="008979A7" w:rsidRPr="00186240">
        <w:rPr>
          <w:b/>
          <w:lang w:val="hy-AM"/>
        </w:rPr>
        <w:t>(</w:t>
      </w:r>
      <w:r w:rsidR="008979A7" w:rsidRPr="00692AA5">
        <w:rPr>
          <w:b/>
          <w:lang w:val="hy-AM"/>
        </w:rPr>
        <w:t>աջ հատված</w:t>
      </w:r>
      <w:r w:rsidR="008979A7" w:rsidRPr="00186240">
        <w:rPr>
          <w:b/>
          <w:lang w:val="hy-AM"/>
        </w:rPr>
        <w:t>)</w:t>
      </w:r>
      <w:r w:rsidR="008979A7" w:rsidRPr="00692AA5">
        <w:rPr>
          <w:b/>
          <w:lang w:val="hy-AM"/>
        </w:rPr>
        <w:t xml:space="preserve"> տնտեսական աճին</w:t>
      </w:r>
      <w:r w:rsidR="00AF0773">
        <w:rPr>
          <w:b/>
          <w:lang w:val="hy-AM"/>
        </w:rPr>
        <w:t xml:space="preserve"> </w:t>
      </w:r>
      <w:r w:rsidR="00AF0773" w:rsidRPr="00186240">
        <w:rPr>
          <w:b/>
          <w:lang w:val="hy-AM"/>
        </w:rPr>
        <w:t>(</w:t>
      </w:r>
      <w:r w:rsidR="00EB2F84">
        <w:rPr>
          <w:b/>
          <w:lang w:val="hy-AM"/>
        </w:rPr>
        <w:t>տոկոսային կետ</w:t>
      </w:r>
      <w:r w:rsidR="00AF0773" w:rsidRPr="00186240">
        <w:rPr>
          <w:b/>
          <w:lang w:val="hy-AM"/>
        </w:rPr>
        <w:t>)</w:t>
      </w:r>
    </w:p>
    <w:p w14:paraId="78C4A7D3" w14:textId="77777777" w:rsidR="0036589D" w:rsidRDefault="00373FF5" w:rsidP="0036589D">
      <w:pPr>
        <w:spacing w:before="240"/>
        <w:ind w:firstLine="0"/>
        <w:rPr>
          <w:lang w:val="hy-AM"/>
        </w:rPr>
      </w:pPr>
      <w:r>
        <w:rPr>
          <w:noProof/>
        </w:rPr>
        <w:drawing>
          <wp:inline distT="0" distB="0" distL="0" distR="0" wp14:anchorId="53C2EAB2" wp14:editId="77B28BA6">
            <wp:extent cx="2844000" cy="2700000"/>
            <wp:effectExtent l="0" t="0" r="1397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92AA5">
        <w:rPr>
          <w:noProof/>
        </w:rPr>
        <w:drawing>
          <wp:inline distT="0" distB="0" distL="0" distR="0" wp14:anchorId="17A4601C" wp14:editId="1807CEF1">
            <wp:extent cx="2844000" cy="2700000"/>
            <wp:effectExtent l="0" t="0" r="1397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673AF2" w14:textId="7C4C24F4" w:rsidR="0023468A" w:rsidRPr="00186240" w:rsidRDefault="00C258AE" w:rsidP="000F3254">
      <w:pPr>
        <w:spacing w:before="240"/>
        <w:rPr>
          <w:lang w:val="hy-AM"/>
        </w:rPr>
      </w:pPr>
      <w:r>
        <w:rPr>
          <w:lang w:val="hy-AM"/>
        </w:rPr>
        <w:t xml:space="preserve">Նախ </w:t>
      </w:r>
      <w:r w:rsidR="003E5599">
        <w:rPr>
          <w:lang w:val="hy-AM"/>
        </w:rPr>
        <w:t>նկատենք</w:t>
      </w:r>
      <w:r>
        <w:rPr>
          <w:lang w:val="hy-AM"/>
        </w:rPr>
        <w:t>, որ</w:t>
      </w:r>
      <w:r w:rsidR="003E5599">
        <w:rPr>
          <w:lang w:val="hy-AM"/>
        </w:rPr>
        <w:t xml:space="preserve"> 2017թ.</w:t>
      </w:r>
      <w:r>
        <w:rPr>
          <w:lang w:val="hy-AM"/>
        </w:rPr>
        <w:t xml:space="preserve"> 7.5</w:t>
      </w:r>
      <w:r w:rsidRPr="00186240">
        <w:rPr>
          <w:lang w:val="hy-AM"/>
        </w:rPr>
        <w:t>%</w:t>
      </w:r>
      <w:r>
        <w:rPr>
          <w:lang w:val="hy-AM"/>
        </w:rPr>
        <w:t xml:space="preserve"> տնտեսական աճից հետո` 2018-ի առաջին եռամսյակում </w:t>
      </w:r>
      <w:r w:rsidRPr="00186240">
        <w:rPr>
          <w:lang w:val="hy-AM"/>
        </w:rPr>
        <w:t>(</w:t>
      </w:r>
      <w:r>
        <w:rPr>
          <w:lang w:val="hy-AM"/>
        </w:rPr>
        <w:t>մինչև իշխանափոխությունը</w:t>
      </w:r>
      <w:r w:rsidRPr="00186240">
        <w:rPr>
          <w:lang w:val="hy-AM"/>
        </w:rPr>
        <w:t>)</w:t>
      </w:r>
      <w:r>
        <w:rPr>
          <w:lang w:val="hy-AM"/>
        </w:rPr>
        <w:t xml:space="preserve"> նախորդ տարվա </w:t>
      </w:r>
      <w:r w:rsidR="003E5599">
        <w:rPr>
          <w:lang w:val="hy-AM"/>
        </w:rPr>
        <w:t>առաջին եռամսյակի</w:t>
      </w:r>
      <w:r>
        <w:rPr>
          <w:lang w:val="hy-AM"/>
        </w:rPr>
        <w:t xml:space="preserve"> համեմատ տնտ</w:t>
      </w:r>
      <w:r w:rsidR="0046416D">
        <w:rPr>
          <w:lang w:val="hy-AM"/>
        </w:rPr>
        <w:t>ես</w:t>
      </w:r>
      <w:r>
        <w:rPr>
          <w:lang w:val="hy-AM"/>
        </w:rPr>
        <w:t>ական աճն արագացել է 3.6 տոկոսային կետով և կազմել 10.5</w:t>
      </w:r>
      <w:r w:rsidRPr="00186240">
        <w:rPr>
          <w:lang w:val="hy-AM"/>
        </w:rPr>
        <w:t>%</w:t>
      </w:r>
      <w:r w:rsidR="00496155">
        <w:rPr>
          <w:rStyle w:val="FootnoteReference"/>
        </w:rPr>
        <w:footnoteReference w:id="8"/>
      </w:r>
      <w:r>
        <w:rPr>
          <w:lang w:val="hy-AM"/>
        </w:rPr>
        <w:t xml:space="preserve">, սակայն 2018թ. երկրորդ եռամսյակից </w:t>
      </w:r>
      <w:r w:rsidRPr="00186240">
        <w:rPr>
          <w:lang w:val="hy-AM"/>
        </w:rPr>
        <w:t>(</w:t>
      </w:r>
      <w:r>
        <w:rPr>
          <w:lang w:val="hy-AM"/>
        </w:rPr>
        <w:t>իշխանափոխությունից</w:t>
      </w:r>
      <w:r w:rsidRPr="00186240">
        <w:rPr>
          <w:lang w:val="hy-AM"/>
        </w:rPr>
        <w:t>)</w:t>
      </w:r>
      <w:r>
        <w:rPr>
          <w:lang w:val="hy-AM"/>
        </w:rPr>
        <w:t xml:space="preserve"> </w:t>
      </w:r>
      <w:r w:rsidR="003E5599">
        <w:rPr>
          <w:lang w:val="hy-AM"/>
        </w:rPr>
        <w:t xml:space="preserve">հետո </w:t>
      </w:r>
      <w:r>
        <w:rPr>
          <w:lang w:val="hy-AM"/>
        </w:rPr>
        <w:t>տնտեսական աճի տեմպ</w:t>
      </w:r>
      <w:r w:rsidR="003E5599">
        <w:rPr>
          <w:lang w:val="hy-AM"/>
        </w:rPr>
        <w:t>ը կտրուկ</w:t>
      </w:r>
      <w:r>
        <w:rPr>
          <w:lang w:val="hy-AM"/>
        </w:rPr>
        <w:t xml:space="preserve"> նվազ</w:t>
      </w:r>
      <w:r w:rsidR="003E5599">
        <w:rPr>
          <w:lang w:val="hy-AM"/>
        </w:rPr>
        <w:t>ել է</w:t>
      </w:r>
      <w:r w:rsidR="003F5658">
        <w:rPr>
          <w:lang w:val="hy-AM"/>
        </w:rPr>
        <w:t>,</w:t>
      </w:r>
      <w:r>
        <w:rPr>
          <w:lang w:val="hy-AM"/>
        </w:rPr>
        <w:t xml:space="preserve"> ինչի արդյունքում </w:t>
      </w:r>
      <w:r w:rsidR="00011A50">
        <w:rPr>
          <w:lang w:val="hy-AM"/>
        </w:rPr>
        <w:t>ՀՀ կառավարությանը չի հաջողվել նախորդ տարվա համեմատ ապահովել աճի առաջանցիկ տեմպ</w:t>
      </w:r>
      <w:r w:rsidR="00011E77" w:rsidRPr="00186240">
        <w:rPr>
          <w:lang w:val="hy-AM"/>
        </w:rPr>
        <w:t xml:space="preserve">: </w:t>
      </w:r>
    </w:p>
    <w:p w14:paraId="324D21F8" w14:textId="0E5D9723" w:rsidR="00F24546" w:rsidRDefault="0023468A" w:rsidP="000F3254">
      <w:pPr>
        <w:spacing w:before="240"/>
        <w:rPr>
          <w:lang w:val="hy-AM"/>
        </w:rPr>
      </w:pPr>
      <w:r>
        <w:rPr>
          <w:lang w:val="hy-AM"/>
        </w:rPr>
        <w:t>2018-2019թթ. ընթացքում տնտեսական աճին մեծ</w:t>
      </w:r>
      <w:r w:rsidR="005C42D6">
        <w:rPr>
          <w:lang w:val="hy-AM"/>
        </w:rPr>
        <w:t>ապես նպաստել է ծառայությունների ճյուղը, ինչը</w:t>
      </w:r>
      <w:r w:rsidR="003F5658">
        <w:rPr>
          <w:lang w:val="hy-AM"/>
        </w:rPr>
        <w:t>,</w:t>
      </w:r>
      <w:r w:rsidR="005C42D6">
        <w:rPr>
          <w:lang w:val="hy-AM"/>
        </w:rPr>
        <w:t xml:space="preserve"> սակայն</w:t>
      </w:r>
      <w:r w:rsidR="003F5658">
        <w:rPr>
          <w:lang w:val="hy-AM"/>
        </w:rPr>
        <w:t>,</w:t>
      </w:r>
      <w:r>
        <w:rPr>
          <w:lang w:val="hy-AM"/>
        </w:rPr>
        <w:t xml:space="preserve"> հիմնականում </w:t>
      </w:r>
      <w:r w:rsidR="005C42D6">
        <w:rPr>
          <w:lang w:val="hy-AM"/>
        </w:rPr>
        <w:t xml:space="preserve">պայմանավորված է եղել </w:t>
      </w:r>
      <w:r>
        <w:rPr>
          <w:lang w:val="hy-AM"/>
        </w:rPr>
        <w:t>տնտեսական այն գործունեո</w:t>
      </w:r>
      <w:r w:rsidR="005C42D6">
        <w:rPr>
          <w:lang w:val="hy-AM"/>
        </w:rPr>
        <w:t>ւթյուններով</w:t>
      </w:r>
      <w:r>
        <w:rPr>
          <w:lang w:val="hy-AM"/>
        </w:rPr>
        <w:t xml:space="preserve">, որոնք չեն ապահովում հավելյալ արժեքի ստեղծում և բնակչության կյանքի որակի </w:t>
      </w:r>
      <w:r w:rsidR="005C42D6">
        <w:rPr>
          <w:lang w:val="hy-AM"/>
        </w:rPr>
        <w:t>բարելավում</w:t>
      </w:r>
      <w:r>
        <w:rPr>
          <w:lang w:val="hy-AM"/>
        </w:rPr>
        <w:t xml:space="preserve">: Մասնավորապես, 2018թ. տնտեսական աճին զգալի նպաստում է ունեցել վիճակախաղերի, շահումով խաղերի և բուքմեյքերական գործունեության հետ կապված ծառայությունների աճը, իսկ 2019-ին` ֆինանսական ծառայությունների աճը </w:t>
      </w:r>
      <w:r w:rsidRPr="00186240">
        <w:rPr>
          <w:lang w:val="hy-AM"/>
        </w:rPr>
        <w:t>(</w:t>
      </w:r>
      <w:r>
        <w:rPr>
          <w:lang w:val="hy-AM"/>
        </w:rPr>
        <w:t>պայմանավորված սպառողական վարկերի կտրուկ աճով</w:t>
      </w:r>
      <w:r w:rsidRPr="00186240">
        <w:rPr>
          <w:lang w:val="hy-AM"/>
        </w:rPr>
        <w:t>)</w:t>
      </w:r>
      <w:r>
        <w:rPr>
          <w:lang w:val="hy-AM"/>
        </w:rPr>
        <w:t xml:space="preserve">: </w:t>
      </w:r>
      <w:r w:rsidRPr="00186240">
        <w:rPr>
          <w:lang w:val="hy-AM"/>
        </w:rPr>
        <w:t xml:space="preserve"> </w:t>
      </w:r>
    </w:p>
    <w:p w14:paraId="541CE895" w14:textId="7FC2DD0B" w:rsidR="00F24546" w:rsidRDefault="00B95A95" w:rsidP="000F3254">
      <w:pPr>
        <w:spacing w:before="240"/>
        <w:rPr>
          <w:lang w:val="hy-AM"/>
        </w:rPr>
      </w:pPr>
      <w:r w:rsidRPr="006B3253">
        <w:rPr>
          <w:b/>
          <w:lang w:val="hy-AM"/>
        </w:rPr>
        <w:lastRenderedPageBreak/>
        <w:t xml:space="preserve">Տնտեսության </w:t>
      </w:r>
      <w:r w:rsidR="005C42D6" w:rsidRPr="006B3253">
        <w:rPr>
          <w:b/>
          <w:lang w:val="hy-AM"/>
        </w:rPr>
        <w:t xml:space="preserve">մյուս </w:t>
      </w:r>
      <w:r w:rsidRPr="006B3253">
        <w:rPr>
          <w:b/>
          <w:lang w:val="hy-AM"/>
        </w:rPr>
        <w:t>ճյուղերում տեղի չեն ունեցել կառուցվածքային էական փոփոխություններ, իսկ որոշ</w:t>
      </w:r>
      <w:r w:rsidR="00934F37">
        <w:rPr>
          <w:b/>
          <w:lang w:val="hy-AM"/>
        </w:rPr>
        <w:t xml:space="preserve"> մասում</w:t>
      </w:r>
      <w:r w:rsidRPr="006B3253">
        <w:rPr>
          <w:b/>
          <w:lang w:val="hy-AM"/>
        </w:rPr>
        <w:t xml:space="preserve"> գրանցվել է մտահոգիչ հետընթաց:</w:t>
      </w:r>
      <w:r w:rsidRPr="0019549A">
        <w:rPr>
          <w:lang w:val="hy-AM"/>
        </w:rPr>
        <w:t xml:space="preserve"> </w:t>
      </w:r>
      <w:r w:rsidR="005C42D6">
        <w:rPr>
          <w:lang w:val="hy-AM"/>
        </w:rPr>
        <w:t>Նշված ժամանակահատվածում</w:t>
      </w:r>
      <w:r>
        <w:rPr>
          <w:lang w:val="hy-AM"/>
        </w:rPr>
        <w:t xml:space="preserve"> շարունակել է կրճատվել գյուղատնտեսությունը, շինարարության </w:t>
      </w:r>
      <w:r w:rsidR="005C42D6">
        <w:rPr>
          <w:lang w:val="hy-AM"/>
        </w:rPr>
        <w:t>նպաստումը</w:t>
      </w:r>
      <w:r w:rsidR="00A64F1A">
        <w:rPr>
          <w:lang w:val="hy-AM"/>
        </w:rPr>
        <w:t xml:space="preserve"> ՀՆԱ-</w:t>
      </w:r>
      <w:r w:rsidR="009A0C5E">
        <w:rPr>
          <w:lang w:val="hy-AM"/>
        </w:rPr>
        <w:t>ի աճին</w:t>
      </w:r>
      <w:r>
        <w:rPr>
          <w:lang w:val="hy-AM"/>
        </w:rPr>
        <w:t xml:space="preserve"> եղել է </w:t>
      </w:r>
      <w:r w:rsidR="005C42D6">
        <w:rPr>
          <w:lang w:val="hy-AM"/>
        </w:rPr>
        <w:t>աննշան</w:t>
      </w:r>
      <w:r>
        <w:rPr>
          <w:lang w:val="hy-AM"/>
        </w:rPr>
        <w:t>, մշակող արդյունաբերության</w:t>
      </w:r>
      <w:r w:rsidR="009A0C5E">
        <w:rPr>
          <w:lang w:val="hy-AM"/>
        </w:rPr>
        <w:t>, ինչպես նաև հանքարդյունաբերության</w:t>
      </w:r>
      <w:r>
        <w:rPr>
          <w:lang w:val="hy-AM"/>
        </w:rPr>
        <w:t xml:space="preserve"> դերը պահպանվել է </w:t>
      </w:r>
      <w:r w:rsidR="005C42D6">
        <w:rPr>
          <w:lang w:val="hy-AM"/>
        </w:rPr>
        <w:t xml:space="preserve">գրեթե </w:t>
      </w:r>
      <w:r>
        <w:rPr>
          <w:lang w:val="hy-AM"/>
        </w:rPr>
        <w:t>նույն</w:t>
      </w:r>
      <w:r w:rsidR="005C42D6">
        <w:rPr>
          <w:lang w:val="hy-AM"/>
        </w:rPr>
        <w:t xml:space="preserve"> մակարդակում</w:t>
      </w:r>
      <w:r>
        <w:rPr>
          <w:lang w:val="hy-AM"/>
        </w:rPr>
        <w:t xml:space="preserve">: </w:t>
      </w:r>
    </w:p>
    <w:p w14:paraId="74136C86" w14:textId="0BB05438" w:rsidR="0019549A" w:rsidRDefault="0019549A" w:rsidP="006D5ABB">
      <w:pPr>
        <w:spacing w:before="240"/>
        <w:rPr>
          <w:lang w:val="hy-AM"/>
        </w:rPr>
      </w:pPr>
      <w:r>
        <w:rPr>
          <w:lang w:val="hy-AM"/>
        </w:rPr>
        <w:t xml:space="preserve">ՀՆԱ-ի ծախսման տեսանկյունից 2018-2019թթ. ընթացքում տեղի է ունեցել տնտեսական աճի մոդելի կտրուկ վատթարացում: </w:t>
      </w:r>
      <w:r w:rsidRPr="0019549A">
        <w:rPr>
          <w:b/>
          <w:lang w:val="hy-AM"/>
        </w:rPr>
        <w:t>Նշված ժամանակահատվածում</w:t>
      </w:r>
      <w:r>
        <w:rPr>
          <w:lang w:val="hy-AM"/>
        </w:rPr>
        <w:t xml:space="preserve"> </w:t>
      </w:r>
      <w:r w:rsidRPr="001239C7">
        <w:rPr>
          <w:b/>
          <w:lang w:val="hy-AM"/>
        </w:rPr>
        <w:t>ՀՀ տնտեսությունը հիմնականում առաջ է քաշվել սպառման մոդելով, ինչը չի նպաստել տնտեսության ներուժի ընդլայնմանն ու կուտակմանը:</w:t>
      </w:r>
      <w:r>
        <w:rPr>
          <w:b/>
          <w:lang w:val="hy-AM"/>
        </w:rPr>
        <w:t xml:space="preserve"> </w:t>
      </w:r>
      <w:r w:rsidRPr="0019549A">
        <w:rPr>
          <w:b/>
          <w:lang w:val="hy-AM"/>
        </w:rPr>
        <w:t>Մյուս կողմից` գրանցվել է ներդրումների շեշտակի անկում` ավելի սրելով կայուն-երկարաժամկետ տնտեսական աճի ապահովման խնդիրը:</w:t>
      </w:r>
      <w:r>
        <w:rPr>
          <w:lang w:val="hy-AM"/>
        </w:rPr>
        <w:t xml:space="preserve"> </w:t>
      </w:r>
      <w:r w:rsidR="006D5ABB">
        <w:rPr>
          <w:lang w:val="hy-AM"/>
        </w:rPr>
        <w:t>Մասնավորապես, 2019 թվականին նախորդ տարվա համեմատ կտրուկ արագացել է սպառման աճի տեմպը: Ընդ որում, մասնավոր սպառումն աճել է 12.3</w:t>
      </w:r>
      <w:r w:rsidR="006D5ABB" w:rsidRPr="00186240">
        <w:rPr>
          <w:lang w:val="hy-AM"/>
        </w:rPr>
        <w:t>%-</w:t>
      </w:r>
      <w:r w:rsidR="006D5ABB">
        <w:rPr>
          <w:lang w:val="hy-AM"/>
        </w:rPr>
        <w:t xml:space="preserve">ով` ՀՆԱ-ի աճին </w:t>
      </w:r>
      <w:r w:rsidR="0092350A">
        <w:rPr>
          <w:lang w:val="hy-AM"/>
        </w:rPr>
        <w:t xml:space="preserve">ունենալով </w:t>
      </w:r>
      <w:r w:rsidR="006D5ABB">
        <w:rPr>
          <w:lang w:val="hy-AM"/>
        </w:rPr>
        <w:t>9.2</w:t>
      </w:r>
      <w:r w:rsidR="006D5ABB" w:rsidRPr="00186240">
        <w:rPr>
          <w:lang w:val="hy-AM"/>
        </w:rPr>
        <w:t xml:space="preserve"> </w:t>
      </w:r>
      <w:r w:rsidR="006D5ABB">
        <w:rPr>
          <w:lang w:val="hy-AM"/>
        </w:rPr>
        <w:t xml:space="preserve">տոկոսային կետով </w:t>
      </w:r>
      <w:r w:rsidR="006D5ABB" w:rsidRPr="00186240">
        <w:rPr>
          <w:lang w:val="hy-AM"/>
        </w:rPr>
        <w:t>(</w:t>
      </w:r>
      <w:r w:rsidR="006D5ABB">
        <w:rPr>
          <w:lang w:val="hy-AM"/>
        </w:rPr>
        <w:t>ավելի քան երկու անգամ, քան նախորդ տարի</w:t>
      </w:r>
      <w:r w:rsidR="006D5ABB" w:rsidRPr="00186240">
        <w:rPr>
          <w:lang w:val="hy-AM"/>
        </w:rPr>
        <w:t>)</w:t>
      </w:r>
      <w:r w:rsidR="0092350A">
        <w:rPr>
          <w:lang w:val="hy-AM"/>
        </w:rPr>
        <w:t xml:space="preserve"> դրական նպաստում</w:t>
      </w:r>
      <w:r w:rsidR="006D5ABB">
        <w:rPr>
          <w:lang w:val="hy-AM"/>
        </w:rPr>
        <w:t xml:space="preserve">: Մտահոգիչ է, որ մասնավոր սպառման աճը տեղի է ունեցել ոչ թե բնակչության եկամուտների աճի, այլ ֆինանսական պարտավորությունների </w:t>
      </w:r>
      <w:r w:rsidR="006D5ABB" w:rsidRPr="00186240">
        <w:rPr>
          <w:lang w:val="hy-AM"/>
        </w:rPr>
        <w:t>(</w:t>
      </w:r>
      <w:r w:rsidR="006D5ABB">
        <w:rPr>
          <w:lang w:val="hy-AM"/>
        </w:rPr>
        <w:t>հատկապես` վարկերի</w:t>
      </w:r>
      <w:r w:rsidR="006D5ABB" w:rsidRPr="00186240">
        <w:rPr>
          <w:lang w:val="hy-AM"/>
        </w:rPr>
        <w:t>)</w:t>
      </w:r>
      <w:r w:rsidR="006D5ABB">
        <w:rPr>
          <w:lang w:val="hy-AM"/>
        </w:rPr>
        <w:t xml:space="preserve"> կտրուկ աճի հաշվին:</w:t>
      </w:r>
      <w:r w:rsidR="00D01DAD">
        <w:rPr>
          <w:lang w:val="hy-AM"/>
        </w:rPr>
        <w:t xml:space="preserve"> Փոխարենը, շարունակաբար նվազել են ներդրումները, ինչի արդյունքում </w:t>
      </w:r>
      <w:r>
        <w:rPr>
          <w:lang w:val="hy-AM"/>
        </w:rPr>
        <w:t xml:space="preserve">ներդրումների նպաստումը տնտեսական աճին 2018 թվականին կազմել է ընդամենը 0.8 տոկոսային կետ, իսկ 2019-ին` 0.7 տոկոսային կետ, այն դեպքում, երբ 2017թ. տնտեսական աճին ներդրումների նպաստումը կազմել է </w:t>
      </w:r>
      <w:r w:rsidR="00154E4F">
        <w:rPr>
          <w:lang w:val="hy-AM"/>
        </w:rPr>
        <w:t xml:space="preserve">շուրջ 2 անգամ ավելի` </w:t>
      </w:r>
      <w:r>
        <w:rPr>
          <w:lang w:val="hy-AM"/>
        </w:rPr>
        <w:t xml:space="preserve">1.7 </w:t>
      </w:r>
      <w:r w:rsidRPr="00186240">
        <w:rPr>
          <w:lang w:val="hy-AM"/>
        </w:rPr>
        <w:t>տոկոսային կետ</w:t>
      </w:r>
      <w:r w:rsidR="00D01DAD">
        <w:rPr>
          <w:lang w:val="hy-AM"/>
        </w:rPr>
        <w:t xml:space="preserve">: </w:t>
      </w:r>
      <w:r w:rsidR="006D5ABB">
        <w:rPr>
          <w:lang w:val="hy-AM"/>
        </w:rPr>
        <w:t xml:space="preserve"> </w:t>
      </w:r>
    </w:p>
    <w:p w14:paraId="28374D10" w14:textId="12D768FD" w:rsidR="00CF2CA7" w:rsidRDefault="00CF2CA7" w:rsidP="006D5ABB">
      <w:pPr>
        <w:spacing w:before="240"/>
        <w:rPr>
          <w:lang w:val="hy-AM"/>
        </w:rPr>
      </w:pPr>
      <w:r w:rsidRPr="002A042E">
        <w:rPr>
          <w:b/>
          <w:lang w:val="hy-AM"/>
        </w:rPr>
        <w:t>Նկատենք նաև, որ 2018-2019թթ. ընթացքում վերոգրյալ զարգացումների արդյունքում ՀՀ կառավարությանը չի հաջողվել ապահովել աճի ներառականությունը:</w:t>
      </w:r>
      <w:r>
        <w:rPr>
          <w:lang w:val="hy-AM"/>
        </w:rPr>
        <w:t xml:space="preserve"> Դրա ձախողման մասին է փաստում Ջինիի </w:t>
      </w:r>
      <w:r w:rsidR="00B96FD7">
        <w:rPr>
          <w:lang w:val="hy-AM"/>
        </w:rPr>
        <w:t>գործակիցը</w:t>
      </w:r>
      <w:r>
        <w:rPr>
          <w:lang w:val="hy-AM"/>
        </w:rPr>
        <w:t>, որի արդյունքներով եկամուտների բաշխման անհավասարությունը 2017-ի համեմատ խորացել է ինչպես 2018, այնպես էլ 2019 թվականին` ընդհանուր առմամբ շուրջ 6.1</w:t>
      </w:r>
      <w:r w:rsidRPr="00186240">
        <w:rPr>
          <w:lang w:val="hy-AM"/>
        </w:rPr>
        <w:t>%-</w:t>
      </w:r>
      <w:r>
        <w:rPr>
          <w:lang w:val="hy-AM"/>
        </w:rPr>
        <w:t>ով:</w:t>
      </w:r>
    </w:p>
    <w:p w14:paraId="6C94265E" w14:textId="6A145FE0" w:rsidR="003E23D4" w:rsidRDefault="003E23D4" w:rsidP="000F3254">
      <w:pPr>
        <w:spacing w:before="240"/>
        <w:rPr>
          <w:lang w:val="hy-AM"/>
        </w:rPr>
      </w:pPr>
      <w:r w:rsidRPr="00FE52AE">
        <w:rPr>
          <w:b/>
          <w:lang w:val="hy-AM"/>
        </w:rPr>
        <w:t xml:space="preserve">Հետևաբար զարմանալի չէ, որ 2020 թվականին ՀՀ-ում գրանցված երկու բացասական շոկերի </w:t>
      </w:r>
      <w:r w:rsidRPr="00186240">
        <w:rPr>
          <w:b/>
          <w:lang w:val="hy-AM"/>
        </w:rPr>
        <w:t>(</w:t>
      </w:r>
      <w:r w:rsidRPr="00FE52AE">
        <w:rPr>
          <w:b/>
          <w:lang w:val="hy-AM"/>
        </w:rPr>
        <w:t>ԿՈՎԻԴ-19-ի և Արցախյան պատերազմի</w:t>
      </w:r>
      <w:r w:rsidRPr="00186240">
        <w:rPr>
          <w:b/>
          <w:lang w:val="hy-AM"/>
        </w:rPr>
        <w:t>)</w:t>
      </w:r>
      <w:r w:rsidRPr="00FE52AE">
        <w:rPr>
          <w:b/>
          <w:lang w:val="hy-AM"/>
        </w:rPr>
        <w:t xml:space="preserve"> հետևանքով` տնտեսական աճի ձախողած քաղաքականության պայմաններում գրանցվել է տնտեսության կտրուկ անկում` շուրջ 7.4</w:t>
      </w:r>
      <w:r w:rsidRPr="00186240">
        <w:rPr>
          <w:b/>
          <w:lang w:val="hy-AM"/>
        </w:rPr>
        <w:t>%-</w:t>
      </w:r>
      <w:r w:rsidRPr="00FE52AE">
        <w:rPr>
          <w:b/>
          <w:lang w:val="hy-AM"/>
        </w:rPr>
        <w:t>ով:</w:t>
      </w:r>
      <w:r>
        <w:rPr>
          <w:lang w:val="hy-AM"/>
        </w:rPr>
        <w:t xml:space="preserve"> </w:t>
      </w:r>
      <w:r w:rsidR="00344689">
        <w:rPr>
          <w:lang w:val="hy-AM"/>
        </w:rPr>
        <w:t>Ընդ որում, անկումային են եղել տնտեսության</w:t>
      </w:r>
      <w:r w:rsidR="00006504">
        <w:rPr>
          <w:lang w:val="hy-AM"/>
        </w:rPr>
        <w:t xml:space="preserve"> գրեթե</w:t>
      </w:r>
      <w:r w:rsidR="00344689">
        <w:rPr>
          <w:lang w:val="hy-AM"/>
        </w:rPr>
        <w:t xml:space="preserve"> բոլոր ճյուղերը: Զարմանալի չէ նաև այն, որ նախորդ 2 տարիներին սպառումով քաշվող տնտեսական աճի պայմաններում 2020-ին</w:t>
      </w:r>
      <w:r w:rsidR="002F625C">
        <w:rPr>
          <w:lang w:val="hy-AM"/>
        </w:rPr>
        <w:t xml:space="preserve">  </w:t>
      </w:r>
      <w:r w:rsidR="00344689">
        <w:rPr>
          <w:lang w:val="hy-AM"/>
        </w:rPr>
        <w:t xml:space="preserve"> 10.1</w:t>
      </w:r>
      <w:r w:rsidR="00344689" w:rsidRPr="00186240">
        <w:rPr>
          <w:lang w:val="hy-AM"/>
        </w:rPr>
        <w:t>%-</w:t>
      </w:r>
      <w:r w:rsidR="00344689">
        <w:rPr>
          <w:lang w:val="hy-AM"/>
        </w:rPr>
        <w:t>ով կրճատվել է սպառումը` 9.7 տոկոսային կետով</w:t>
      </w:r>
      <w:r w:rsidR="00BD30E6">
        <w:rPr>
          <w:lang w:val="hy-AM"/>
        </w:rPr>
        <w:t>՝</w:t>
      </w:r>
      <w:r w:rsidR="00344689">
        <w:rPr>
          <w:lang w:val="hy-AM"/>
        </w:rPr>
        <w:t xml:space="preserve"> ունենալով ՀՆԱ-ի անկմանը բացասական նպաստում: Ընդ որում, մասնավոր սպառումը կրճատվել է </w:t>
      </w:r>
      <w:r w:rsidR="00344689">
        <w:rPr>
          <w:lang w:val="hy-AM"/>
        </w:rPr>
        <w:lastRenderedPageBreak/>
        <w:t>20.1</w:t>
      </w:r>
      <w:r w:rsidR="00344689" w:rsidRPr="00186240">
        <w:rPr>
          <w:lang w:val="hy-AM"/>
        </w:rPr>
        <w:t>%-</w:t>
      </w:r>
      <w:r w:rsidR="00344689">
        <w:rPr>
          <w:lang w:val="hy-AM"/>
        </w:rPr>
        <w:t>ով</w:t>
      </w:r>
      <w:r w:rsidR="00882EB0">
        <w:rPr>
          <w:lang w:val="hy-AM"/>
        </w:rPr>
        <w:t xml:space="preserve">` </w:t>
      </w:r>
      <w:r w:rsidR="00344689">
        <w:rPr>
          <w:lang w:val="hy-AM"/>
        </w:rPr>
        <w:t xml:space="preserve">11.5 տոկոսային կետով </w:t>
      </w:r>
      <w:r w:rsidR="001928EB">
        <w:rPr>
          <w:lang w:val="hy-AM"/>
        </w:rPr>
        <w:t xml:space="preserve">բացասաբար </w:t>
      </w:r>
      <w:r w:rsidR="00344689">
        <w:rPr>
          <w:lang w:val="hy-AM"/>
        </w:rPr>
        <w:t xml:space="preserve">նպաստելով ՀՆԱ-ի կրճատմանը: </w:t>
      </w:r>
      <w:r w:rsidR="005320D7">
        <w:rPr>
          <w:lang w:val="hy-AM"/>
        </w:rPr>
        <w:t>Ներդրումները, ցավոք, առանց այդ էլ բավական ցածր մակարդակի պայմաններում կրճատվել են 8.6</w:t>
      </w:r>
      <w:r w:rsidR="005320D7" w:rsidRPr="00186240">
        <w:rPr>
          <w:lang w:val="hy-AM"/>
        </w:rPr>
        <w:t>%-</w:t>
      </w:r>
      <w:r w:rsidR="005320D7">
        <w:rPr>
          <w:lang w:val="hy-AM"/>
        </w:rPr>
        <w:t xml:space="preserve">ով` ՀՆԱ-ի անկմանը նպաստելով -1.4 տոկոսային կետով: </w:t>
      </w:r>
    </w:p>
    <w:p w14:paraId="0A90CFE6" w14:textId="14922A51" w:rsidR="00D91B0B" w:rsidRDefault="00D91B0B" w:rsidP="000F3254">
      <w:pPr>
        <w:spacing w:before="240"/>
        <w:rPr>
          <w:lang w:val="hy-AM"/>
        </w:rPr>
      </w:pPr>
      <w:r>
        <w:rPr>
          <w:lang w:val="hy-AM"/>
        </w:rPr>
        <w:t>Նկատենք, որ</w:t>
      </w:r>
      <w:r w:rsidR="00D22202">
        <w:rPr>
          <w:lang w:val="hy-AM"/>
        </w:rPr>
        <w:t xml:space="preserve"> 2018-2020թթ.</w:t>
      </w:r>
      <w:r>
        <w:rPr>
          <w:lang w:val="hy-AM"/>
        </w:rPr>
        <w:t xml:space="preserve"> ընթացքում ՀՀ կառավարությանը չի հաջողվել ապահովել նաև տնտեսության արտահանելի հատվածի խթանումը, </w:t>
      </w:r>
      <w:r w:rsidR="00FE52AE" w:rsidRPr="002D0EC3">
        <w:rPr>
          <w:lang w:val="hy-AM"/>
        </w:rPr>
        <w:t>ինչը սակայն բարձր որակի տնտեսական աճի կարևորագույն նախադրյալներից է:</w:t>
      </w:r>
    </w:p>
    <w:p w14:paraId="708465D2" w14:textId="2AAF14E1" w:rsidR="006F3488" w:rsidRPr="006F3488" w:rsidRDefault="00C45FB2" w:rsidP="000F3254">
      <w:pPr>
        <w:spacing w:before="240"/>
        <w:rPr>
          <w:lang w:val="hy-AM"/>
        </w:rPr>
      </w:pPr>
      <w:r>
        <w:rPr>
          <w:b/>
          <w:lang w:val="hy-AM"/>
        </w:rPr>
        <w:t>Տնտեսական աճը</w:t>
      </w:r>
      <w:r w:rsidRPr="00D952E8">
        <w:rPr>
          <w:b/>
          <w:lang w:val="hy-AM"/>
        </w:rPr>
        <w:t xml:space="preserve"> </w:t>
      </w:r>
      <w:r w:rsidR="006F3488" w:rsidRPr="00D952E8">
        <w:rPr>
          <w:b/>
          <w:lang w:val="hy-AM"/>
        </w:rPr>
        <w:t>շարունակում է մտահոգիչ մնալ նաև 2021 թվականին:</w:t>
      </w:r>
      <w:r w:rsidR="006F3488">
        <w:rPr>
          <w:lang w:val="hy-AM"/>
        </w:rPr>
        <w:t xml:space="preserve"> Այսպես, 2021թ. առաջին կիսամյակի</w:t>
      </w:r>
      <w:r w:rsidR="00866463">
        <w:rPr>
          <w:lang w:val="hy-AM"/>
        </w:rPr>
        <w:t xml:space="preserve"> վերջում նախորդ տարվա համապատասխան ժամանակահատվածի համեմատ գրանցվել է ընդամենը 5.0</w:t>
      </w:r>
      <w:r w:rsidR="00866463" w:rsidRPr="00186240">
        <w:rPr>
          <w:lang w:val="hy-AM"/>
        </w:rPr>
        <w:t>%</w:t>
      </w:r>
      <w:r w:rsidR="00866463">
        <w:rPr>
          <w:lang w:val="hy-AM"/>
        </w:rPr>
        <w:t xml:space="preserve"> տնտեսական աճ, ինչն </w:t>
      </w:r>
      <w:r w:rsidR="006402EE">
        <w:rPr>
          <w:lang w:val="hy-AM"/>
        </w:rPr>
        <w:t>ուղեկցվել է տարվա ընթացքում</w:t>
      </w:r>
      <w:r w:rsidR="00866463">
        <w:rPr>
          <w:lang w:val="hy-AM"/>
        </w:rPr>
        <w:t xml:space="preserve"> աճի տեմպի </w:t>
      </w:r>
      <w:r w:rsidR="006402EE">
        <w:rPr>
          <w:lang w:val="hy-AM"/>
        </w:rPr>
        <w:t>դանդաղմամբ</w:t>
      </w:r>
      <w:r w:rsidR="006F3488">
        <w:rPr>
          <w:lang w:val="hy-AM"/>
        </w:rPr>
        <w:t xml:space="preserve">: </w:t>
      </w:r>
      <w:r w:rsidR="00866463">
        <w:rPr>
          <w:lang w:val="hy-AM"/>
        </w:rPr>
        <w:t>Ընդ որում, հ</w:t>
      </w:r>
      <w:r w:rsidR="006F3488">
        <w:rPr>
          <w:lang w:val="hy-AM"/>
        </w:rPr>
        <w:t xml:space="preserve">աշվի առնելով </w:t>
      </w:r>
      <w:r w:rsidR="0030181C">
        <w:rPr>
          <w:lang w:val="hy-AM"/>
        </w:rPr>
        <w:t>2020թ. առաջին կիսամյակում</w:t>
      </w:r>
      <w:r w:rsidR="006F3488">
        <w:rPr>
          <w:lang w:val="hy-AM"/>
        </w:rPr>
        <w:t xml:space="preserve"> գրանցված</w:t>
      </w:r>
      <w:r w:rsidR="00C73818">
        <w:rPr>
          <w:lang w:val="hy-AM"/>
        </w:rPr>
        <w:t xml:space="preserve"> </w:t>
      </w:r>
      <w:r w:rsidR="006F3488">
        <w:rPr>
          <w:lang w:val="hy-AM"/>
        </w:rPr>
        <w:t>5.5</w:t>
      </w:r>
      <w:r w:rsidR="006F3488" w:rsidRPr="00186240">
        <w:rPr>
          <w:lang w:val="hy-AM"/>
        </w:rPr>
        <w:t>%</w:t>
      </w:r>
      <w:r w:rsidR="006F3488">
        <w:rPr>
          <w:lang w:val="hy-AM"/>
        </w:rPr>
        <w:t xml:space="preserve"> տնտեսական անկումը` այս ցուցանիշը որևէ կերպ չի կարող համարվել տնտեսության վերականգնում</w:t>
      </w:r>
      <w:r w:rsidR="00B003BA">
        <w:rPr>
          <w:lang w:val="hy-AM"/>
        </w:rPr>
        <w:t xml:space="preserve">: </w:t>
      </w:r>
      <w:r w:rsidR="00F015A5">
        <w:rPr>
          <w:lang w:val="hy-AM"/>
        </w:rPr>
        <w:t>Պետք է արձանագրե</w:t>
      </w:r>
      <w:r w:rsidR="00872540" w:rsidRPr="008D325C">
        <w:rPr>
          <w:lang w:val="hy-AM"/>
        </w:rPr>
        <w:t>լ</w:t>
      </w:r>
      <w:r w:rsidR="00F015A5">
        <w:rPr>
          <w:lang w:val="hy-AM"/>
        </w:rPr>
        <w:t xml:space="preserve"> նաև</w:t>
      </w:r>
      <w:r w:rsidR="00B003BA">
        <w:rPr>
          <w:lang w:val="hy-AM"/>
        </w:rPr>
        <w:t>,</w:t>
      </w:r>
      <w:r w:rsidR="00F015A5">
        <w:rPr>
          <w:lang w:val="hy-AM"/>
        </w:rPr>
        <w:t xml:space="preserve"> որ</w:t>
      </w:r>
      <w:r w:rsidR="00B003BA">
        <w:rPr>
          <w:lang w:val="hy-AM"/>
        </w:rPr>
        <w:t xml:space="preserve"> 2021թ. հունվար-</w:t>
      </w:r>
      <w:r w:rsidR="00B07DE2">
        <w:rPr>
          <w:lang w:val="hy-AM"/>
        </w:rPr>
        <w:t xml:space="preserve">սեպտեմբեր </w:t>
      </w:r>
      <w:r w:rsidR="00B003BA">
        <w:rPr>
          <w:lang w:val="hy-AM"/>
        </w:rPr>
        <w:t xml:space="preserve">ամիսների արդյունքներով </w:t>
      </w:r>
      <w:r w:rsidR="00B11BB6">
        <w:rPr>
          <w:lang w:val="hy-AM"/>
        </w:rPr>
        <w:t>տնտեսական ակտիվությունը ՀՀ-ում</w:t>
      </w:r>
      <w:r w:rsidR="00B003BA">
        <w:rPr>
          <w:lang w:val="hy-AM"/>
        </w:rPr>
        <w:t xml:space="preserve"> շարունակում է դանդաղել</w:t>
      </w:r>
      <w:r w:rsidR="00525B63">
        <w:rPr>
          <w:rStyle w:val="FootnoteReference"/>
          <w:lang w:val="hy-AM"/>
        </w:rPr>
        <w:footnoteReference w:id="9"/>
      </w:r>
      <w:r w:rsidR="00B003BA">
        <w:rPr>
          <w:lang w:val="hy-AM"/>
        </w:rPr>
        <w:t>, ինչը հիմքեր է ստեղծում ենթադրելու, որ ՀՀ տնտեսությունը չի վերականգնվի նաև 2021 թվականի վերջին:</w:t>
      </w:r>
    </w:p>
    <w:p w14:paraId="22431D21" w14:textId="19C0C2EC" w:rsidR="003F6462" w:rsidRPr="00E237DB" w:rsidRDefault="005D49E7" w:rsidP="00D952E8">
      <w:pPr>
        <w:spacing w:before="240"/>
        <w:rPr>
          <w:b/>
          <w:lang w:val="hy-AM"/>
        </w:rPr>
      </w:pPr>
      <w:r w:rsidRPr="00E237DB">
        <w:rPr>
          <w:b/>
          <w:lang w:val="hy-AM"/>
        </w:rPr>
        <w:t xml:space="preserve">Ամփոփելով </w:t>
      </w:r>
      <w:r w:rsidR="00E73FF5">
        <w:rPr>
          <w:b/>
          <w:lang w:val="hy-AM"/>
        </w:rPr>
        <w:t>վերոգրյալը</w:t>
      </w:r>
      <w:r w:rsidR="001662D3">
        <w:rPr>
          <w:b/>
          <w:lang w:val="hy-AM"/>
        </w:rPr>
        <w:t>`</w:t>
      </w:r>
      <w:r w:rsidRPr="00E237DB">
        <w:rPr>
          <w:b/>
          <w:lang w:val="hy-AM"/>
        </w:rPr>
        <w:t xml:space="preserve"> կարող ենք արձանագրել, որ թեև 2018-2019թթ. ՀՀ կառավարությունը ֆորմալ առումով </w:t>
      </w:r>
      <w:r w:rsidR="00736656">
        <w:rPr>
          <w:b/>
          <w:lang w:val="hy-AM"/>
        </w:rPr>
        <w:t>ապահովել</w:t>
      </w:r>
      <w:r w:rsidR="00736656" w:rsidRPr="00E237DB">
        <w:rPr>
          <w:b/>
          <w:lang w:val="hy-AM"/>
        </w:rPr>
        <w:t xml:space="preserve"> </w:t>
      </w:r>
      <w:r w:rsidRPr="00E237DB">
        <w:rPr>
          <w:b/>
          <w:lang w:val="hy-AM"/>
        </w:rPr>
        <w:t xml:space="preserve">է </w:t>
      </w:r>
      <w:r w:rsidR="00736656">
        <w:rPr>
          <w:b/>
          <w:lang w:val="hy-AM"/>
        </w:rPr>
        <w:t xml:space="preserve">տնտեսական աճի </w:t>
      </w:r>
      <w:r w:rsidRPr="00E237DB">
        <w:rPr>
          <w:b/>
          <w:lang w:val="hy-AM"/>
        </w:rPr>
        <w:t xml:space="preserve">թիրախի </w:t>
      </w:r>
      <w:r w:rsidR="0038227D">
        <w:rPr>
          <w:b/>
          <w:lang w:val="hy-AM"/>
        </w:rPr>
        <w:t>թվային</w:t>
      </w:r>
      <w:r w:rsidR="0038227D" w:rsidRPr="00E237DB">
        <w:rPr>
          <w:b/>
          <w:lang w:val="hy-AM"/>
        </w:rPr>
        <w:t xml:space="preserve"> </w:t>
      </w:r>
      <w:r w:rsidR="004C3D9F">
        <w:rPr>
          <w:b/>
          <w:lang w:val="hy-AM"/>
        </w:rPr>
        <w:t>կատարումը</w:t>
      </w:r>
      <w:r w:rsidRPr="00E237DB">
        <w:rPr>
          <w:b/>
          <w:lang w:val="hy-AM"/>
        </w:rPr>
        <w:t>, այդուհանդերձ գրանցված տնտեսական աճերը չեն ունեցել կառուցվածքային և ներառական բարձր որակ, ինչի արդյունքում</w:t>
      </w:r>
      <w:r w:rsidR="00BD30E6">
        <w:rPr>
          <w:b/>
          <w:lang w:val="hy-AM"/>
        </w:rPr>
        <w:t xml:space="preserve">    </w:t>
      </w:r>
      <w:r w:rsidRPr="00E237DB">
        <w:rPr>
          <w:b/>
          <w:lang w:val="hy-AM"/>
        </w:rPr>
        <w:t xml:space="preserve"> 2020-ին վրա հասած բացասական շոկերի հետևանքով գրանցվել է տնտեսական խոր անկում: </w:t>
      </w:r>
      <w:r w:rsidR="002A4401">
        <w:rPr>
          <w:b/>
          <w:lang w:val="hy-AM"/>
        </w:rPr>
        <w:t xml:space="preserve">2021թ. </w:t>
      </w:r>
      <w:r w:rsidR="00B4170F" w:rsidRPr="00E237DB">
        <w:rPr>
          <w:b/>
          <w:lang w:val="hy-AM"/>
        </w:rPr>
        <w:t>ընթացքում ՀՀ տնտեսության վերականգնման դանդաղ տեմպերը</w:t>
      </w:r>
      <w:r w:rsidRPr="00E237DB">
        <w:rPr>
          <w:b/>
          <w:lang w:val="hy-AM"/>
        </w:rPr>
        <w:t xml:space="preserve"> </w:t>
      </w:r>
      <w:r w:rsidR="00B4170F" w:rsidRPr="00E237DB">
        <w:rPr>
          <w:b/>
          <w:lang w:val="hy-AM"/>
        </w:rPr>
        <w:t>մտահոգվելու լրացուցիչ հիմքեր են ստեղծում` հաշվի առնելով մի կողմից</w:t>
      </w:r>
      <w:r w:rsidR="00BD30E6">
        <w:rPr>
          <w:b/>
          <w:lang w:val="hy-AM"/>
        </w:rPr>
        <w:t>՝</w:t>
      </w:r>
      <w:r w:rsidR="00B4170F" w:rsidRPr="00E237DB">
        <w:rPr>
          <w:b/>
          <w:lang w:val="hy-AM"/>
        </w:rPr>
        <w:t xml:space="preserve"> ՀՀ կառավարության տնտեսական աճի քաղաքականության </w:t>
      </w:r>
      <w:r w:rsidR="001B7238" w:rsidRPr="00E237DB">
        <w:rPr>
          <w:b/>
          <w:lang w:val="hy-AM"/>
        </w:rPr>
        <w:t xml:space="preserve">նախկին </w:t>
      </w:r>
      <w:r w:rsidR="00B4170F" w:rsidRPr="00E237DB">
        <w:rPr>
          <w:b/>
          <w:lang w:val="hy-AM"/>
        </w:rPr>
        <w:t>ձախող</w:t>
      </w:r>
      <w:r w:rsidR="001B7238" w:rsidRPr="00E237DB">
        <w:rPr>
          <w:b/>
          <w:lang w:val="hy-AM"/>
        </w:rPr>
        <w:t>վ</w:t>
      </w:r>
      <w:r w:rsidR="00B4170F" w:rsidRPr="00E237DB">
        <w:rPr>
          <w:b/>
          <w:lang w:val="hy-AM"/>
        </w:rPr>
        <w:t>ած փորձը, մյուս կողմից</w:t>
      </w:r>
      <w:r w:rsidR="00BD30E6">
        <w:rPr>
          <w:b/>
          <w:lang w:val="hy-AM"/>
        </w:rPr>
        <w:t>՝</w:t>
      </w:r>
      <w:r w:rsidR="00132216" w:rsidRPr="00E237DB">
        <w:rPr>
          <w:b/>
          <w:lang w:val="hy-AM"/>
        </w:rPr>
        <w:t xml:space="preserve"> այն հանգամանքը, որ</w:t>
      </w:r>
      <w:r w:rsidR="00B4170F" w:rsidRPr="00E237DB">
        <w:rPr>
          <w:b/>
          <w:lang w:val="hy-AM"/>
        </w:rPr>
        <w:t xml:space="preserve"> 2020-ին գրանցված բացասական շոկերի ազդեցությ</w:t>
      </w:r>
      <w:r w:rsidR="00132216" w:rsidRPr="00E237DB">
        <w:rPr>
          <w:b/>
          <w:lang w:val="hy-AM"/>
        </w:rPr>
        <w:t>ունները շարունակվում են 2021 թվականին և թողնելու են իրենց հետքը նաև առաջիկա տարիներին</w:t>
      </w:r>
      <w:r w:rsidR="00B4170F" w:rsidRPr="00E237DB">
        <w:rPr>
          <w:b/>
          <w:lang w:val="hy-AM"/>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303929" w:rsidRPr="00D00797" w14:paraId="1E88B117" w14:textId="77777777" w:rsidTr="00F06424">
        <w:tc>
          <w:tcPr>
            <w:tcW w:w="9062" w:type="dxa"/>
            <w:shd w:val="clear" w:color="auto" w:fill="EDEDED" w:themeFill="accent3" w:themeFillTint="33"/>
          </w:tcPr>
          <w:p w14:paraId="03C14DF0" w14:textId="77777777" w:rsidR="00303929" w:rsidRPr="00CF0161" w:rsidRDefault="00303929" w:rsidP="00192FCA">
            <w:pPr>
              <w:spacing w:before="60" w:after="60" w:line="276" w:lineRule="auto"/>
              <w:jc w:val="center"/>
              <w:rPr>
                <w:lang w:val="hy-AM"/>
              </w:rPr>
            </w:pPr>
            <w:r w:rsidRPr="00CF0161">
              <w:rPr>
                <w:color w:val="00B0F0"/>
                <w:sz w:val="22"/>
                <w:lang w:val="hy-AM"/>
              </w:rPr>
              <w:t>ՀՀ կառավարության 2021թ. ծրագիր</w:t>
            </w:r>
          </w:p>
          <w:p w14:paraId="29D7A696" w14:textId="77777777" w:rsidR="00AC48DF" w:rsidRPr="00192FCA" w:rsidRDefault="00303929" w:rsidP="00192FCA">
            <w:pPr>
              <w:pStyle w:val="ListParagraph"/>
              <w:numPr>
                <w:ilvl w:val="0"/>
                <w:numId w:val="7"/>
              </w:numPr>
              <w:spacing w:before="60" w:after="60" w:line="276" w:lineRule="auto"/>
              <w:ind w:left="313" w:hanging="284"/>
              <w:rPr>
                <w:sz w:val="20"/>
                <w:lang w:val="hy-AM"/>
              </w:rPr>
            </w:pPr>
            <w:r w:rsidRPr="00192FCA">
              <w:rPr>
                <w:sz w:val="20"/>
                <w:lang w:val="hy-AM"/>
              </w:rPr>
              <w:t xml:space="preserve">Մինչև 2026 թվականը </w:t>
            </w:r>
            <w:r w:rsidRPr="00192FCA">
              <w:rPr>
                <w:b/>
                <w:sz w:val="20"/>
                <w:lang w:val="hy-AM"/>
              </w:rPr>
              <w:t>կառավարությունը թիրախավորում է ՀՆԱ-ի տարեկան միջին աճի նվազագույն մակարդակը` 7</w:t>
            </w:r>
            <w:r w:rsidRPr="00186240">
              <w:rPr>
                <w:b/>
                <w:sz w:val="20"/>
                <w:lang w:val="hy-AM"/>
              </w:rPr>
              <w:t xml:space="preserve">%, </w:t>
            </w:r>
            <w:r w:rsidRPr="0090518F">
              <w:rPr>
                <w:sz w:val="20"/>
                <w:lang w:val="hy-AM"/>
              </w:rPr>
              <w:t>իսկ բարենպաստ արտաքին տնտեսական պայմաններում` 9</w:t>
            </w:r>
            <w:r w:rsidRPr="00186240">
              <w:rPr>
                <w:sz w:val="20"/>
                <w:lang w:val="hy-AM"/>
              </w:rPr>
              <w:t>%:</w:t>
            </w:r>
          </w:p>
          <w:p w14:paraId="511E9D63" w14:textId="77777777" w:rsidR="00303929" w:rsidRPr="00192FCA" w:rsidRDefault="00AD7A7B" w:rsidP="00192FCA">
            <w:pPr>
              <w:pStyle w:val="ListParagraph"/>
              <w:numPr>
                <w:ilvl w:val="0"/>
                <w:numId w:val="7"/>
              </w:numPr>
              <w:spacing w:before="60" w:after="60" w:line="276" w:lineRule="auto"/>
              <w:ind w:left="313" w:hanging="284"/>
              <w:rPr>
                <w:lang w:val="hy-AM"/>
              </w:rPr>
            </w:pPr>
            <w:r w:rsidRPr="00192FCA">
              <w:rPr>
                <w:sz w:val="20"/>
                <w:lang w:val="hy-AM"/>
              </w:rPr>
              <w:lastRenderedPageBreak/>
              <w:t xml:space="preserve">Տնտեսական աճի </w:t>
            </w:r>
            <w:r w:rsidR="00AC48DF" w:rsidRPr="00192FCA">
              <w:rPr>
                <w:sz w:val="20"/>
                <w:lang w:val="hy-AM"/>
              </w:rPr>
              <w:t>...</w:t>
            </w:r>
            <w:r w:rsidRPr="00192FCA">
              <w:rPr>
                <w:sz w:val="20"/>
                <w:lang w:val="hy-AM"/>
              </w:rPr>
              <w:t xml:space="preserve"> ընդլայնումը պայմանավորված է լինելու միջազգային մրցունակության աճով: Միջազգային մրցունակության ավելացման ուղին է լինելու արտահանմանը միտված, գիտելիքահենք և ներառական տնտեսության ձևավորումը:</w:t>
            </w:r>
          </w:p>
        </w:tc>
      </w:tr>
    </w:tbl>
    <w:p w14:paraId="7CFE75D3" w14:textId="73D5B8FD" w:rsidR="00A745A7" w:rsidRDefault="002333C1" w:rsidP="00A745A7">
      <w:pPr>
        <w:spacing w:before="240"/>
        <w:rPr>
          <w:lang w:val="hy-AM"/>
        </w:rPr>
      </w:pPr>
      <w:r w:rsidRPr="001D0B6B">
        <w:rPr>
          <w:b/>
          <w:lang w:val="hy-AM"/>
        </w:rPr>
        <w:lastRenderedPageBreak/>
        <w:t>Ինչ վերաբերում է ՀՀ կառավարության 2021թ. ծրագրին, ապա պետք է նկատենք, որ</w:t>
      </w:r>
      <w:r w:rsidR="002918CB" w:rsidRPr="001D0B6B">
        <w:rPr>
          <w:b/>
          <w:lang w:val="hy-AM"/>
        </w:rPr>
        <w:t xml:space="preserve"> </w:t>
      </w:r>
      <w:r w:rsidR="005B7229" w:rsidRPr="001D0B6B">
        <w:rPr>
          <w:b/>
          <w:lang w:val="hy-AM"/>
        </w:rPr>
        <w:t>նվազագույնը 7</w:t>
      </w:r>
      <w:r w:rsidR="005B7229" w:rsidRPr="00186240">
        <w:rPr>
          <w:b/>
          <w:lang w:val="hy-AM"/>
        </w:rPr>
        <w:t>%</w:t>
      </w:r>
      <w:r w:rsidR="005B7229" w:rsidRPr="001D0B6B">
        <w:rPr>
          <w:b/>
          <w:lang w:val="hy-AM"/>
        </w:rPr>
        <w:t xml:space="preserve"> տնտեսական աճի թիրախավորումը </w:t>
      </w:r>
      <w:r w:rsidR="008F3F8C" w:rsidRPr="001D0B6B">
        <w:rPr>
          <w:b/>
          <w:lang w:val="hy-AM"/>
        </w:rPr>
        <w:t xml:space="preserve">ներկայիս կառավարության պարագայում </w:t>
      </w:r>
      <w:r w:rsidR="005B7229" w:rsidRPr="001D0B6B">
        <w:rPr>
          <w:b/>
          <w:lang w:val="hy-AM"/>
        </w:rPr>
        <w:t>բավական հավակնոտ է:</w:t>
      </w:r>
      <w:r w:rsidR="005B7229">
        <w:rPr>
          <w:lang w:val="hy-AM"/>
        </w:rPr>
        <w:t xml:space="preserve"> </w:t>
      </w:r>
      <w:r w:rsidR="00242EF4">
        <w:rPr>
          <w:lang w:val="hy-AM"/>
        </w:rPr>
        <w:t>2018-2021թթ. ընթացքում</w:t>
      </w:r>
      <w:r w:rsidR="00A745A7">
        <w:rPr>
          <w:lang w:val="hy-AM"/>
        </w:rPr>
        <w:t xml:space="preserve"> տնտեսական աճի քաղաքականության ձախողման պայմաններում </w:t>
      </w:r>
      <w:r w:rsidR="009B0577">
        <w:rPr>
          <w:lang w:val="hy-AM"/>
        </w:rPr>
        <w:t xml:space="preserve">անհասկանալի է, թե ինչպես է ՀՀ կառավարությունը պատրաստվում ապահովել տնտեսական աճի նման բարձր տեմպ, որը կունենա բարձր որակ և կնպաստի հասարակության բարեկեցության մակարդակի բարելավմանը: </w:t>
      </w:r>
    </w:p>
    <w:p w14:paraId="48FB21E1" w14:textId="746B2CB1" w:rsidR="006C062D" w:rsidRDefault="00A43939">
      <w:pPr>
        <w:spacing w:before="240" w:after="0"/>
        <w:rPr>
          <w:lang w:val="hy-AM"/>
        </w:rPr>
      </w:pPr>
      <w:r>
        <w:rPr>
          <w:lang w:val="hy-AM"/>
        </w:rPr>
        <w:t>Մ</w:t>
      </w:r>
      <w:r w:rsidR="006C062D">
        <w:rPr>
          <w:lang w:val="hy-AM"/>
        </w:rPr>
        <w:t xml:space="preserve">տահոգիչ է </w:t>
      </w:r>
      <w:r>
        <w:rPr>
          <w:lang w:val="hy-AM"/>
        </w:rPr>
        <w:t xml:space="preserve">նաև </w:t>
      </w:r>
      <w:r w:rsidR="006C062D">
        <w:rPr>
          <w:lang w:val="hy-AM"/>
        </w:rPr>
        <w:t xml:space="preserve">այն հանգամանքը, որ ՀՀ կառավարության առաջիկա երեք տարիների սպասումներով, ինչն ամրագրված է ՀՀ կառավարության 2022-2024թթ. </w:t>
      </w:r>
      <w:r w:rsidR="0010279A">
        <w:rPr>
          <w:lang w:val="hy-AM"/>
        </w:rPr>
        <w:t>ՄԺԾ</w:t>
      </w:r>
      <w:r w:rsidR="006C062D">
        <w:rPr>
          <w:lang w:val="hy-AM"/>
        </w:rPr>
        <w:t xml:space="preserve"> ծրագրում</w:t>
      </w:r>
      <w:r w:rsidR="00734400">
        <w:rPr>
          <w:lang w:val="hy-AM"/>
        </w:rPr>
        <w:t>,</w:t>
      </w:r>
      <w:r w:rsidR="006C062D">
        <w:rPr>
          <w:lang w:val="hy-AM"/>
        </w:rPr>
        <w:t xml:space="preserve"> ևս չի սպասվում տնտեսական աճի նշված թիրախի ապահովում</w:t>
      </w:r>
      <w:r w:rsidR="00C51D2B">
        <w:rPr>
          <w:lang w:val="hy-AM"/>
        </w:rPr>
        <w:t>ը</w:t>
      </w:r>
      <w:r w:rsidR="006C062D">
        <w:rPr>
          <w:lang w:val="hy-AM"/>
        </w:rPr>
        <w:t xml:space="preserve">: </w:t>
      </w:r>
      <w:r w:rsidR="00873DBD">
        <w:rPr>
          <w:lang w:val="hy-AM"/>
        </w:rPr>
        <w:t>Այսպես, ծրագրում ներկայացված կանխատեսումների համաձայն</w:t>
      </w:r>
      <w:r w:rsidR="00734400">
        <w:rPr>
          <w:lang w:val="hy-AM"/>
        </w:rPr>
        <w:t>՝</w:t>
      </w:r>
      <w:r w:rsidR="00873DBD">
        <w:rPr>
          <w:lang w:val="hy-AM"/>
        </w:rPr>
        <w:t xml:space="preserve"> 2021</w:t>
      </w:r>
      <w:r w:rsidR="00DE227D">
        <w:rPr>
          <w:lang w:val="hy-AM"/>
        </w:rPr>
        <w:t xml:space="preserve">թ. </w:t>
      </w:r>
      <w:r w:rsidR="00873DBD">
        <w:rPr>
          <w:lang w:val="hy-AM"/>
        </w:rPr>
        <w:t>սպասվում է 6.0</w:t>
      </w:r>
      <w:r w:rsidR="00873DBD" w:rsidRPr="00186240">
        <w:rPr>
          <w:lang w:val="hy-AM"/>
        </w:rPr>
        <w:t>%</w:t>
      </w:r>
      <w:r w:rsidR="00873DBD">
        <w:rPr>
          <w:lang w:val="hy-AM"/>
        </w:rPr>
        <w:t xml:space="preserve"> տնտեսական աճ</w:t>
      </w:r>
      <w:r w:rsidR="00873DBD" w:rsidRPr="00186240">
        <w:rPr>
          <w:lang w:val="hy-AM"/>
        </w:rPr>
        <w:t xml:space="preserve">, </w:t>
      </w:r>
      <w:r w:rsidR="00873DBD">
        <w:rPr>
          <w:lang w:val="hy-AM"/>
        </w:rPr>
        <w:t>իսկ 2022-2024թթ.` համապատասխանաբար 5.2</w:t>
      </w:r>
      <w:r w:rsidR="00873DBD" w:rsidRPr="00186240">
        <w:rPr>
          <w:lang w:val="hy-AM"/>
        </w:rPr>
        <w:t xml:space="preserve">%, 3.7% </w:t>
      </w:r>
      <w:r w:rsidR="00873DBD">
        <w:rPr>
          <w:lang w:val="hy-AM"/>
        </w:rPr>
        <w:t xml:space="preserve">և </w:t>
      </w:r>
      <w:r w:rsidR="00873DBD" w:rsidRPr="00186240">
        <w:rPr>
          <w:lang w:val="hy-AM"/>
        </w:rPr>
        <w:t>4.0%</w:t>
      </w:r>
      <w:r>
        <w:rPr>
          <w:lang w:val="hy-AM"/>
        </w:rPr>
        <w:t xml:space="preserve"> </w:t>
      </w:r>
      <w:r w:rsidRPr="00186240">
        <w:rPr>
          <w:lang w:val="hy-AM"/>
        </w:rPr>
        <w:t>(</w:t>
      </w:r>
      <w:r>
        <w:rPr>
          <w:lang w:val="hy-AM"/>
        </w:rPr>
        <w:t xml:space="preserve">Գծապատկեր </w:t>
      </w:r>
      <w:r w:rsidR="008D1318">
        <w:rPr>
          <w:lang w:val="hy-AM"/>
        </w:rPr>
        <w:t>2</w:t>
      </w:r>
      <w:r w:rsidRPr="00186240">
        <w:rPr>
          <w:lang w:val="hy-AM"/>
        </w:rPr>
        <w:t>)</w:t>
      </w:r>
      <w:r w:rsidR="00873DBD" w:rsidRPr="00186240">
        <w:rPr>
          <w:lang w:val="hy-AM"/>
        </w:rPr>
        <w:t xml:space="preserve">: </w:t>
      </w:r>
      <w:r w:rsidR="00873DBD">
        <w:rPr>
          <w:lang w:val="hy-AM"/>
        </w:rPr>
        <w:t xml:space="preserve"> </w:t>
      </w:r>
      <w:r w:rsidR="009F4234">
        <w:rPr>
          <w:lang w:val="hy-AM"/>
        </w:rPr>
        <w:t>Ուստի</w:t>
      </w:r>
      <w:r w:rsidR="00734400">
        <w:rPr>
          <w:lang w:val="hy-AM"/>
        </w:rPr>
        <w:t>,</w:t>
      </w:r>
      <w:r w:rsidR="009F4234">
        <w:rPr>
          <w:lang w:val="hy-AM"/>
        </w:rPr>
        <w:t xml:space="preserve"> պարզ չէ, թե ինչպես է ՀՀ կառավարությունը պատրաստվում ապահովել նման բարձր աճ, երբ իր իսկ կանխատեսումների համաձայն</w:t>
      </w:r>
      <w:r w:rsidR="00734400">
        <w:rPr>
          <w:lang w:val="hy-AM"/>
        </w:rPr>
        <w:t>՝</w:t>
      </w:r>
      <w:r w:rsidR="009F4234">
        <w:rPr>
          <w:lang w:val="hy-AM"/>
        </w:rPr>
        <w:t xml:space="preserve"> առաջիկա տարիներին սպասվելիք տնտեսական քաղաքականության արդյունքում չի հաջողվելու ապահովել տնտեսական աճի թիրախը:</w:t>
      </w:r>
      <w:r w:rsidR="00473AEF">
        <w:rPr>
          <w:lang w:val="hy-AM"/>
        </w:rPr>
        <w:t xml:space="preserve"> Ընդ որում, 2021թ. 6.0</w:t>
      </w:r>
      <w:r w:rsidR="00473AEF" w:rsidRPr="00186240">
        <w:rPr>
          <w:lang w:val="hy-AM"/>
        </w:rPr>
        <w:t>%</w:t>
      </w:r>
      <w:r w:rsidR="00473AEF">
        <w:rPr>
          <w:lang w:val="hy-AM"/>
        </w:rPr>
        <w:t xml:space="preserve"> տնտեսական աճի սպասումը փաստում է, որ 2021-ին ՀՀ տնտեսությունը չի վերականգնվելու </w:t>
      </w:r>
      <w:r w:rsidR="00473AEF" w:rsidRPr="00186240">
        <w:rPr>
          <w:lang w:val="hy-AM"/>
        </w:rPr>
        <w:t>(</w:t>
      </w:r>
      <w:r w:rsidR="00473AEF">
        <w:rPr>
          <w:lang w:val="hy-AM"/>
        </w:rPr>
        <w:t>ինչպես և ակնկալում էինք</w:t>
      </w:r>
      <w:r w:rsidR="00473AEF" w:rsidRPr="00186240">
        <w:rPr>
          <w:lang w:val="hy-AM"/>
        </w:rPr>
        <w:t>)</w:t>
      </w:r>
      <w:r w:rsidR="00473AEF">
        <w:rPr>
          <w:lang w:val="hy-AM"/>
        </w:rPr>
        <w:t>, քանի որ 2020թ. 7.4</w:t>
      </w:r>
      <w:r w:rsidR="00473AEF" w:rsidRPr="00186240">
        <w:rPr>
          <w:lang w:val="hy-AM"/>
        </w:rPr>
        <w:t>%</w:t>
      </w:r>
      <w:r w:rsidR="00473AEF">
        <w:rPr>
          <w:lang w:val="hy-AM"/>
        </w:rPr>
        <w:t xml:space="preserve"> տնտեսական անկումից հետո 6.0</w:t>
      </w:r>
      <w:r w:rsidR="00473AEF" w:rsidRPr="00186240">
        <w:rPr>
          <w:lang w:val="hy-AM"/>
        </w:rPr>
        <w:t>%</w:t>
      </w:r>
      <w:r w:rsidR="00473AEF">
        <w:rPr>
          <w:lang w:val="hy-AM"/>
        </w:rPr>
        <w:t xml:space="preserve"> տնտեսական աճի արդյունքում` մինչճգնաժամային տարվա` 2019-ի</w:t>
      </w:r>
      <w:r w:rsidR="00473AEF" w:rsidRPr="00186240">
        <w:rPr>
          <w:lang w:val="hy-AM"/>
        </w:rPr>
        <w:t xml:space="preserve"> </w:t>
      </w:r>
      <w:r w:rsidR="00473AEF">
        <w:rPr>
          <w:lang w:val="hy-AM"/>
        </w:rPr>
        <w:t>համեմատ իրական տնտեսական արդյունքը կպահպանվի 1.8</w:t>
      </w:r>
      <w:r w:rsidR="00473AEF" w:rsidRPr="00186240">
        <w:rPr>
          <w:lang w:val="hy-AM"/>
        </w:rPr>
        <w:t>%-</w:t>
      </w:r>
      <w:r w:rsidR="00473AEF">
        <w:rPr>
          <w:lang w:val="hy-AM"/>
        </w:rPr>
        <w:t xml:space="preserve">ով ավելի ցածր մակարդակում: </w:t>
      </w:r>
    </w:p>
    <w:p w14:paraId="654F82E3" w14:textId="77777777" w:rsidR="005D1372" w:rsidRDefault="005D1372" w:rsidP="005D1372">
      <w:pPr>
        <w:spacing w:after="0"/>
        <w:rPr>
          <w:lang w:val="hy-AM"/>
        </w:rPr>
      </w:pPr>
    </w:p>
    <w:p w14:paraId="365D299D" w14:textId="77777777" w:rsidR="008D4A48" w:rsidRPr="00884D31" w:rsidRDefault="007D0095" w:rsidP="00884D31">
      <w:pPr>
        <w:spacing w:after="120"/>
        <w:ind w:firstLine="0"/>
        <w:jc w:val="center"/>
        <w:rPr>
          <w:b/>
          <w:lang w:val="hy-AM"/>
        </w:rPr>
      </w:pPr>
      <w:r w:rsidRPr="00884D31">
        <w:rPr>
          <w:b/>
          <w:lang w:val="hy-AM"/>
        </w:rPr>
        <w:t xml:space="preserve">Գծապատկեր </w:t>
      </w:r>
      <w:r w:rsidR="00CD5905">
        <w:rPr>
          <w:b/>
          <w:lang w:val="hy-AM"/>
        </w:rPr>
        <w:t>2</w:t>
      </w:r>
      <w:r w:rsidRPr="00884D31">
        <w:rPr>
          <w:b/>
          <w:lang w:val="hy-AM"/>
        </w:rPr>
        <w:t xml:space="preserve">. </w:t>
      </w:r>
      <w:r w:rsidR="00884D31">
        <w:rPr>
          <w:b/>
          <w:lang w:val="hy-AM"/>
        </w:rPr>
        <w:t>Տ</w:t>
      </w:r>
      <w:r w:rsidR="00884D31" w:rsidRPr="00884D31">
        <w:rPr>
          <w:b/>
          <w:lang w:val="hy-AM"/>
        </w:rPr>
        <w:t>նտեսական աճի կանխատեսումների համեմատականը, %</w:t>
      </w:r>
    </w:p>
    <w:p w14:paraId="2F123C23" w14:textId="77777777" w:rsidR="007D0095" w:rsidRPr="00873DBD" w:rsidRDefault="007D0095" w:rsidP="00884D31">
      <w:pPr>
        <w:ind w:firstLine="0"/>
        <w:rPr>
          <w:lang w:val="hy-AM"/>
        </w:rPr>
      </w:pPr>
      <w:r>
        <w:rPr>
          <w:noProof/>
        </w:rPr>
        <w:drawing>
          <wp:inline distT="0" distB="0" distL="0" distR="0" wp14:anchorId="7E9AB2F0" wp14:editId="0FCF94A8">
            <wp:extent cx="5760000" cy="2700000"/>
            <wp:effectExtent l="0" t="0" r="1270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2203F6" w14:textId="2FA89BB7" w:rsidR="006C062D" w:rsidRDefault="008B6EB4" w:rsidP="000F3254">
      <w:pPr>
        <w:spacing w:before="240"/>
        <w:rPr>
          <w:lang w:val="hy-AM"/>
        </w:rPr>
      </w:pPr>
      <w:r>
        <w:rPr>
          <w:lang w:val="hy-AM"/>
        </w:rPr>
        <w:lastRenderedPageBreak/>
        <w:t xml:space="preserve">Նկատենք նաև, որ </w:t>
      </w:r>
      <w:r w:rsidR="00EF39F9">
        <w:rPr>
          <w:lang w:val="hy-AM"/>
        </w:rPr>
        <w:t xml:space="preserve">2022-2024թթ. ՄԺԾԾ-ից հետո ՀՀ կառավարությունը ներկայացրել է ՀՀ </w:t>
      </w:r>
      <w:r>
        <w:rPr>
          <w:lang w:val="hy-AM"/>
        </w:rPr>
        <w:t xml:space="preserve">2022թ. պետական բյուջեի </w:t>
      </w:r>
      <w:r w:rsidR="00EF39F9">
        <w:rPr>
          <w:lang w:val="hy-AM"/>
        </w:rPr>
        <w:t>նախագիծը, որ</w:t>
      </w:r>
      <w:r w:rsidR="00734400">
        <w:rPr>
          <w:lang w:val="hy-AM"/>
        </w:rPr>
        <w:t>տեղ</w:t>
      </w:r>
      <w:r w:rsidR="00EF39F9">
        <w:rPr>
          <w:lang w:val="hy-AM"/>
        </w:rPr>
        <w:t xml:space="preserve"> թեև </w:t>
      </w:r>
      <w:r w:rsidR="002F5030">
        <w:rPr>
          <w:lang w:val="hy-AM"/>
        </w:rPr>
        <w:t>0.5 տոկոսային կետով</w:t>
      </w:r>
      <w:r>
        <w:rPr>
          <w:lang w:val="hy-AM"/>
        </w:rPr>
        <w:t xml:space="preserve"> </w:t>
      </w:r>
      <w:r w:rsidR="002F5030">
        <w:rPr>
          <w:lang w:val="hy-AM"/>
        </w:rPr>
        <w:t>դեպի վերև է ճշգրտվել</w:t>
      </w:r>
      <w:r>
        <w:rPr>
          <w:lang w:val="hy-AM"/>
        </w:rPr>
        <w:t xml:space="preserve"> 2021թ. տնտեսական աճի սպասումը</w:t>
      </w:r>
      <w:r w:rsidR="002F5030">
        <w:rPr>
          <w:lang w:val="hy-AM"/>
        </w:rPr>
        <w:t xml:space="preserve"> </w:t>
      </w:r>
      <w:r w:rsidR="002F5030" w:rsidRPr="00186240">
        <w:rPr>
          <w:lang w:val="hy-AM"/>
        </w:rPr>
        <w:t>(</w:t>
      </w:r>
      <w:r>
        <w:rPr>
          <w:lang w:val="hy-AM"/>
        </w:rPr>
        <w:t>6.5</w:t>
      </w:r>
      <w:r w:rsidRPr="00186240">
        <w:rPr>
          <w:lang w:val="hy-AM"/>
        </w:rPr>
        <w:t>%</w:t>
      </w:r>
      <w:r w:rsidR="002F5030" w:rsidRPr="00186240">
        <w:rPr>
          <w:lang w:val="hy-AM"/>
        </w:rPr>
        <w:t>)</w:t>
      </w:r>
      <w:r w:rsidR="00EF39F9">
        <w:rPr>
          <w:lang w:val="hy-AM"/>
        </w:rPr>
        <w:t xml:space="preserve">, սակայն նույնիսկ դրա իրականացման պարագայում </w:t>
      </w:r>
      <w:r w:rsidR="00C16B33">
        <w:rPr>
          <w:lang w:val="hy-AM"/>
        </w:rPr>
        <w:t xml:space="preserve">չի գրանցվելու </w:t>
      </w:r>
      <w:r w:rsidR="001472BC">
        <w:rPr>
          <w:lang w:val="hy-AM"/>
        </w:rPr>
        <w:t>տնտեսության վերականգնում</w:t>
      </w:r>
      <w:r w:rsidR="00EF39F9">
        <w:rPr>
          <w:lang w:val="hy-AM"/>
        </w:rPr>
        <w:t>:</w:t>
      </w:r>
      <w:r w:rsidRPr="00186240">
        <w:rPr>
          <w:lang w:val="hy-AM"/>
        </w:rPr>
        <w:t xml:space="preserve"> </w:t>
      </w:r>
      <w:r w:rsidR="002F5030">
        <w:rPr>
          <w:lang w:val="hy-AM"/>
        </w:rPr>
        <w:t xml:space="preserve">Վերանայվել է նաև </w:t>
      </w:r>
      <w:r>
        <w:rPr>
          <w:lang w:val="hy-AM"/>
        </w:rPr>
        <w:t>2022թ. կանխատեսումը</w:t>
      </w:r>
      <w:r w:rsidR="001472BC">
        <w:rPr>
          <w:lang w:val="hy-AM"/>
        </w:rPr>
        <w:t xml:space="preserve">` </w:t>
      </w:r>
      <w:r>
        <w:rPr>
          <w:lang w:val="hy-AM"/>
        </w:rPr>
        <w:t>7.0</w:t>
      </w:r>
      <w:r w:rsidRPr="00186240">
        <w:rPr>
          <w:lang w:val="hy-AM"/>
        </w:rPr>
        <w:t>%</w:t>
      </w:r>
      <w:r w:rsidR="00B33C4F">
        <w:rPr>
          <w:lang w:val="hy-AM"/>
        </w:rPr>
        <w:t xml:space="preserve"> </w:t>
      </w:r>
      <w:r w:rsidR="00B33C4F" w:rsidRPr="00186240">
        <w:rPr>
          <w:lang w:val="hy-AM"/>
        </w:rPr>
        <w:t>(</w:t>
      </w:r>
      <w:r w:rsidR="00B33C4F">
        <w:rPr>
          <w:lang w:val="hy-AM"/>
        </w:rPr>
        <w:t>ճշգրտման չափը` 1.8 տոկոսային կետ</w:t>
      </w:r>
      <w:r w:rsidR="00B33C4F" w:rsidRPr="00186240">
        <w:rPr>
          <w:lang w:val="hy-AM"/>
        </w:rPr>
        <w:t>)</w:t>
      </w:r>
      <w:r w:rsidR="00B33C4F">
        <w:rPr>
          <w:lang w:val="hy-AM"/>
        </w:rPr>
        <w:t>, ս</w:t>
      </w:r>
      <w:r w:rsidR="001472BC">
        <w:rPr>
          <w:lang w:val="hy-AM"/>
        </w:rPr>
        <w:t xml:space="preserve">ակայն </w:t>
      </w:r>
      <w:r w:rsidR="00B33C4F">
        <w:rPr>
          <w:lang w:val="hy-AM"/>
        </w:rPr>
        <w:t>այս վերանայումն</w:t>
      </w:r>
      <w:r w:rsidR="002F5030">
        <w:rPr>
          <w:lang w:val="hy-AM"/>
        </w:rPr>
        <w:t xml:space="preserve"> </w:t>
      </w:r>
      <w:r w:rsidR="00F4468B">
        <w:rPr>
          <w:lang w:val="hy-AM"/>
        </w:rPr>
        <w:t xml:space="preserve">անհասկանալի է, քանի որ </w:t>
      </w:r>
      <w:r w:rsidR="007D7A6F">
        <w:rPr>
          <w:lang w:val="hy-AM"/>
        </w:rPr>
        <w:t xml:space="preserve">դրա համար կառավարությունը չի ներկայացնում հիմնավոր փաստարկներ: </w:t>
      </w:r>
      <w:r w:rsidR="00F4468B">
        <w:rPr>
          <w:lang w:val="hy-AM"/>
        </w:rPr>
        <w:t>Տպավորություն է, որ ՀՀ կառավարությունը 2022թ. բյուջեի նախագծում ներկայացված կանխատեսումները «հարմարացրել» է իր խոստումներին:</w:t>
      </w:r>
    </w:p>
    <w:p w14:paraId="72FEDE9D" w14:textId="40A6BE76" w:rsidR="009418AC" w:rsidRPr="009418AC" w:rsidRDefault="009418AC" w:rsidP="000F3254">
      <w:pPr>
        <w:spacing w:before="240"/>
        <w:rPr>
          <w:lang w:val="hy-AM"/>
        </w:rPr>
      </w:pPr>
      <w:r>
        <w:rPr>
          <w:lang w:val="hy-AM"/>
        </w:rPr>
        <w:t>Այսպիսին է նաև 2022-2024թթ. ՄԺԾԾ-ում ներկայացված բարձր տնտեսական աճի սցենարը, որով ՀՀ կառավարությունը</w:t>
      </w:r>
      <w:r w:rsidR="00734400">
        <w:rPr>
          <w:lang w:val="hy-AM"/>
        </w:rPr>
        <w:t>,</w:t>
      </w:r>
      <w:r>
        <w:rPr>
          <w:lang w:val="hy-AM"/>
        </w:rPr>
        <w:t xml:space="preserve"> այն էլ բարենպաստ արտաքին պայմանների դեպքում միայն</w:t>
      </w:r>
      <w:r w:rsidR="00734400">
        <w:rPr>
          <w:lang w:val="hy-AM"/>
        </w:rPr>
        <w:t>,</w:t>
      </w:r>
      <w:r>
        <w:rPr>
          <w:lang w:val="hy-AM"/>
        </w:rPr>
        <w:t xml:space="preserve"> նախատեսում է ապահովել տնտեսական աճի </w:t>
      </w:r>
      <w:r w:rsidR="004B5B56">
        <w:rPr>
          <w:lang w:val="hy-AM"/>
        </w:rPr>
        <w:t xml:space="preserve">տարեկան </w:t>
      </w:r>
      <w:r>
        <w:rPr>
          <w:lang w:val="hy-AM"/>
        </w:rPr>
        <w:t>միջին</w:t>
      </w:r>
      <w:r w:rsidR="00734400">
        <w:rPr>
          <w:lang w:val="hy-AM"/>
        </w:rPr>
        <w:t xml:space="preserve"> հաշվով</w:t>
      </w:r>
      <w:r>
        <w:rPr>
          <w:lang w:val="hy-AM"/>
        </w:rPr>
        <w:t xml:space="preserve"> 7</w:t>
      </w:r>
      <w:r w:rsidRPr="00186240">
        <w:rPr>
          <w:lang w:val="hy-AM"/>
        </w:rPr>
        <w:t>%</w:t>
      </w:r>
      <w:r>
        <w:rPr>
          <w:lang w:val="hy-AM"/>
        </w:rPr>
        <w:t xml:space="preserve"> մակարդակ: ՄԺԾԾ-ում ներկայացված բարձր աճի թիրախն ընդամենը «</w:t>
      </w:r>
      <w:r w:rsidR="00734400">
        <w:rPr>
          <w:lang w:val="hy-AM"/>
        </w:rPr>
        <w:t xml:space="preserve">բարի </w:t>
      </w:r>
      <w:r>
        <w:rPr>
          <w:lang w:val="hy-AM"/>
        </w:rPr>
        <w:t xml:space="preserve">ցանկությունների» շարքին է դասվում, քանի որ ներկայացված սցենարը </w:t>
      </w:r>
      <w:r w:rsidR="003F284D">
        <w:rPr>
          <w:lang w:val="hy-AM"/>
        </w:rPr>
        <w:t>միայն ուղենիշային բնույթ է կրում և բնավ ընկած չէ</w:t>
      </w:r>
      <w:r>
        <w:rPr>
          <w:lang w:val="hy-AM"/>
        </w:rPr>
        <w:t xml:space="preserve"> ՀՀ կառավարության տնտեսական</w:t>
      </w:r>
      <w:r w:rsidR="00B82E98">
        <w:rPr>
          <w:lang w:val="hy-AM"/>
        </w:rPr>
        <w:t xml:space="preserve"> </w:t>
      </w:r>
      <w:r w:rsidR="00B82E98" w:rsidRPr="00186240">
        <w:rPr>
          <w:lang w:val="hy-AM"/>
        </w:rPr>
        <w:t>(</w:t>
      </w:r>
      <w:r w:rsidR="00B82E98">
        <w:rPr>
          <w:lang w:val="hy-AM"/>
        </w:rPr>
        <w:t>եկամտային և ծախսային</w:t>
      </w:r>
      <w:r w:rsidR="00B82E98" w:rsidRPr="00186240">
        <w:rPr>
          <w:lang w:val="hy-AM"/>
        </w:rPr>
        <w:t>)</w:t>
      </w:r>
      <w:r>
        <w:rPr>
          <w:lang w:val="hy-AM"/>
        </w:rPr>
        <w:t xml:space="preserve"> քաղաքականության հիմքում:</w:t>
      </w:r>
    </w:p>
    <w:p w14:paraId="36AF1C9B" w14:textId="7947555B" w:rsidR="009418AC" w:rsidRPr="00A2600C" w:rsidRDefault="00541A36" w:rsidP="000F3254">
      <w:pPr>
        <w:spacing w:before="240"/>
        <w:rPr>
          <w:lang w:val="hy-AM"/>
        </w:rPr>
      </w:pPr>
      <w:r>
        <w:rPr>
          <w:lang w:val="hy-AM"/>
        </w:rPr>
        <w:t>Մ</w:t>
      </w:r>
      <w:r w:rsidR="006C062D">
        <w:rPr>
          <w:lang w:val="hy-AM"/>
        </w:rPr>
        <w:t>ի շարք հեղինակավոր կառույցների կողմից ՀՀ տնտեսական աճի վերաբերյալ կանխատեսումները</w:t>
      </w:r>
      <w:r w:rsidR="00BB6064">
        <w:rPr>
          <w:lang w:val="hy-AM"/>
        </w:rPr>
        <w:t xml:space="preserve"> </w:t>
      </w:r>
      <w:r w:rsidR="00BB6064" w:rsidRPr="00186240">
        <w:rPr>
          <w:lang w:val="hy-AM"/>
        </w:rPr>
        <w:t>(</w:t>
      </w:r>
      <w:r w:rsidR="00501384">
        <w:rPr>
          <w:lang w:val="hy-AM"/>
        </w:rPr>
        <w:t xml:space="preserve">Գծապատկեր </w:t>
      </w:r>
      <w:r w:rsidR="00DB5802">
        <w:rPr>
          <w:lang w:val="hy-AM"/>
        </w:rPr>
        <w:t>2</w:t>
      </w:r>
      <w:r w:rsidR="00BB6064" w:rsidRPr="00186240">
        <w:rPr>
          <w:lang w:val="hy-AM"/>
        </w:rPr>
        <w:t>)</w:t>
      </w:r>
      <w:r w:rsidR="006C062D">
        <w:rPr>
          <w:lang w:val="hy-AM"/>
        </w:rPr>
        <w:t xml:space="preserve"> ևս </w:t>
      </w:r>
      <w:r w:rsidR="00114F6B">
        <w:rPr>
          <w:lang w:val="hy-AM"/>
        </w:rPr>
        <w:t>հուշում են, որ առաջիկա տարիներին թիրախավորված 7</w:t>
      </w:r>
      <w:r w:rsidR="00114F6B" w:rsidRPr="00186240">
        <w:rPr>
          <w:lang w:val="hy-AM"/>
        </w:rPr>
        <w:t>%</w:t>
      </w:r>
      <w:r w:rsidR="00114F6B">
        <w:rPr>
          <w:lang w:val="hy-AM"/>
        </w:rPr>
        <w:t xml:space="preserve"> տնտեսական աճի խոստումն անիրատեսական է:</w:t>
      </w:r>
      <w:r w:rsidR="00655C7C">
        <w:rPr>
          <w:lang w:val="hy-AM"/>
        </w:rPr>
        <w:t xml:space="preserve"> </w:t>
      </w:r>
      <w:r w:rsidR="009418AC">
        <w:rPr>
          <w:lang w:val="hy-AM"/>
        </w:rPr>
        <w:t>Բոլոր դեպքերում</w:t>
      </w:r>
      <w:r w:rsidR="00B628A1">
        <w:rPr>
          <w:lang w:val="hy-AM"/>
        </w:rPr>
        <w:t>`</w:t>
      </w:r>
      <w:r w:rsidR="00A2600C">
        <w:rPr>
          <w:lang w:val="hy-AM"/>
        </w:rPr>
        <w:t xml:space="preserve"> </w:t>
      </w:r>
      <w:r w:rsidR="00BA4473">
        <w:rPr>
          <w:lang w:val="hy-AM"/>
        </w:rPr>
        <w:t>թե</w:t>
      </w:r>
      <w:r w:rsidR="0084712D" w:rsidRPr="00BB6064">
        <w:rPr>
          <w:lang w:val="hy-AM"/>
        </w:rPr>
        <w:t>՛</w:t>
      </w:r>
      <w:r w:rsidR="00BA4473">
        <w:rPr>
          <w:lang w:val="hy-AM"/>
        </w:rPr>
        <w:t xml:space="preserve"> </w:t>
      </w:r>
      <w:r w:rsidR="00A2600C">
        <w:rPr>
          <w:lang w:val="hy-AM"/>
        </w:rPr>
        <w:t xml:space="preserve"> </w:t>
      </w:r>
      <w:r w:rsidR="00BA4473">
        <w:rPr>
          <w:lang w:val="hy-AM"/>
        </w:rPr>
        <w:t xml:space="preserve">ՀՀ կենտրոնական բանկի </w:t>
      </w:r>
      <w:r w:rsidR="00BA4473" w:rsidRPr="00186240">
        <w:rPr>
          <w:lang w:val="hy-AM"/>
        </w:rPr>
        <w:t>(</w:t>
      </w:r>
      <w:r w:rsidR="00BA4473">
        <w:rPr>
          <w:lang w:val="hy-AM"/>
        </w:rPr>
        <w:t>ՀՀ ԿԲ</w:t>
      </w:r>
      <w:r w:rsidR="00BA4473" w:rsidRPr="00186240">
        <w:rPr>
          <w:lang w:val="hy-AM"/>
        </w:rPr>
        <w:t xml:space="preserve">), </w:t>
      </w:r>
      <w:r w:rsidR="00BA4473">
        <w:rPr>
          <w:lang w:val="hy-AM"/>
        </w:rPr>
        <w:t>թե</w:t>
      </w:r>
      <w:r w:rsidR="0084712D" w:rsidRPr="00BB6064">
        <w:rPr>
          <w:lang w:val="hy-AM"/>
        </w:rPr>
        <w:t>՛</w:t>
      </w:r>
      <w:r w:rsidR="00BA4473">
        <w:rPr>
          <w:lang w:val="hy-AM"/>
        </w:rPr>
        <w:t xml:space="preserve"> Համաշխարհային բանկի </w:t>
      </w:r>
      <w:r w:rsidR="00BA4473" w:rsidRPr="00186240">
        <w:rPr>
          <w:lang w:val="hy-AM"/>
        </w:rPr>
        <w:t>(</w:t>
      </w:r>
      <w:r w:rsidR="00BA4473">
        <w:rPr>
          <w:lang w:val="hy-AM"/>
        </w:rPr>
        <w:t>ՀԲ</w:t>
      </w:r>
      <w:r w:rsidR="00BA4473" w:rsidRPr="00186240">
        <w:rPr>
          <w:lang w:val="hy-AM"/>
        </w:rPr>
        <w:t>)</w:t>
      </w:r>
      <w:r w:rsidR="00BA4473">
        <w:rPr>
          <w:lang w:val="hy-AM"/>
        </w:rPr>
        <w:t>, և թե</w:t>
      </w:r>
      <w:r w:rsidR="0084712D" w:rsidRPr="00BB6064">
        <w:rPr>
          <w:lang w:val="hy-AM"/>
        </w:rPr>
        <w:t>՛</w:t>
      </w:r>
      <w:r w:rsidR="00BA4473">
        <w:rPr>
          <w:lang w:val="hy-AM"/>
        </w:rPr>
        <w:t xml:space="preserve"> Արժույթի միջազգային հիմնադրամի </w:t>
      </w:r>
      <w:r w:rsidR="00BA4473" w:rsidRPr="00186240">
        <w:rPr>
          <w:lang w:val="hy-AM"/>
        </w:rPr>
        <w:t>(</w:t>
      </w:r>
      <w:r w:rsidR="00BA4473">
        <w:rPr>
          <w:lang w:val="hy-AM"/>
        </w:rPr>
        <w:t>ԱՄՀ</w:t>
      </w:r>
      <w:r w:rsidR="00BA4473" w:rsidRPr="00186240">
        <w:rPr>
          <w:lang w:val="hy-AM"/>
        </w:rPr>
        <w:t>)</w:t>
      </w:r>
      <w:r w:rsidR="00BA4473">
        <w:rPr>
          <w:lang w:val="hy-AM"/>
        </w:rPr>
        <w:t xml:space="preserve"> կանխատեսումներն առաջիկա տարիներին ՀՀ տնտեսական աճի վերաբերյալ </w:t>
      </w:r>
      <w:r w:rsidR="00440B0C">
        <w:rPr>
          <w:lang w:val="hy-AM"/>
        </w:rPr>
        <w:t>միջին հաշվով</w:t>
      </w:r>
      <w:r w:rsidR="00A2600C">
        <w:rPr>
          <w:lang w:val="hy-AM"/>
        </w:rPr>
        <w:t xml:space="preserve"> շատ ավելի ցածր են</w:t>
      </w:r>
      <w:r w:rsidR="0084712D">
        <w:rPr>
          <w:lang w:val="hy-AM"/>
        </w:rPr>
        <w:t xml:space="preserve"> </w:t>
      </w:r>
      <w:r w:rsidR="0084712D" w:rsidRPr="00186240">
        <w:rPr>
          <w:lang w:val="hy-AM"/>
        </w:rPr>
        <w:t>(</w:t>
      </w:r>
      <w:r w:rsidR="0084712D">
        <w:rPr>
          <w:lang w:val="hy-AM"/>
        </w:rPr>
        <w:t>մոտ 4-5</w:t>
      </w:r>
      <w:r w:rsidR="0084712D" w:rsidRPr="00186240">
        <w:rPr>
          <w:lang w:val="hy-AM"/>
        </w:rPr>
        <w:t>%)</w:t>
      </w:r>
      <w:r w:rsidR="00A2600C">
        <w:rPr>
          <w:lang w:val="hy-AM"/>
        </w:rPr>
        <w:t xml:space="preserve">, քան ՀՀ կառավարության 2021թ. ծրագրի նվազագույն թիրախն է: </w:t>
      </w:r>
      <w:r w:rsidR="00DC75AE">
        <w:rPr>
          <w:lang w:val="hy-AM"/>
        </w:rPr>
        <w:t>Այս պայմաններում</w:t>
      </w:r>
      <w:r w:rsidR="00A2600C">
        <w:rPr>
          <w:lang w:val="hy-AM"/>
        </w:rPr>
        <w:t xml:space="preserve"> կառավարության ծրագրում ներկայացված` բարենպաստ արտաքին պայմանների դեպքում 9</w:t>
      </w:r>
      <w:r w:rsidR="00A2600C" w:rsidRPr="00186240">
        <w:rPr>
          <w:lang w:val="hy-AM"/>
        </w:rPr>
        <w:t>%</w:t>
      </w:r>
      <w:r w:rsidR="00A2600C">
        <w:rPr>
          <w:lang w:val="hy-AM"/>
        </w:rPr>
        <w:t xml:space="preserve"> տնտեսական աճի թիրախավորումն ավելի անիրատեսական է դառնում: </w:t>
      </w:r>
    </w:p>
    <w:p w14:paraId="76E92B9D" w14:textId="40A28190" w:rsidR="00E94C70" w:rsidRDefault="003F284D" w:rsidP="00426B1F">
      <w:pPr>
        <w:spacing w:before="240"/>
        <w:rPr>
          <w:lang w:val="hy-AM"/>
        </w:rPr>
      </w:pPr>
      <w:r w:rsidRPr="0090620D">
        <w:rPr>
          <w:b/>
          <w:lang w:val="hy-AM"/>
        </w:rPr>
        <w:t>Ամփոփելով</w:t>
      </w:r>
      <w:r w:rsidR="00734400">
        <w:rPr>
          <w:b/>
          <w:lang w:val="hy-AM"/>
        </w:rPr>
        <w:t>՝</w:t>
      </w:r>
      <w:r w:rsidRPr="0090620D">
        <w:rPr>
          <w:b/>
          <w:lang w:val="hy-AM"/>
        </w:rPr>
        <w:t xml:space="preserve"> կարող ենք փաստել, որ ՀՀ կառավարության 2021թ. ծրագրի բարձր տնտեսական աճի թիրախը չափազանց հավակնոտ է և անիրատեսական:</w:t>
      </w:r>
      <w:r>
        <w:rPr>
          <w:lang w:val="hy-AM"/>
        </w:rPr>
        <w:t xml:space="preserve"> </w:t>
      </w:r>
      <w:r w:rsidR="00944DF1">
        <w:rPr>
          <w:lang w:val="hy-AM"/>
        </w:rPr>
        <w:t>Ընդ որում, հ</w:t>
      </w:r>
      <w:r w:rsidR="00257A10">
        <w:rPr>
          <w:lang w:val="hy-AM"/>
        </w:rPr>
        <w:t xml:space="preserve">աշվի առնելով </w:t>
      </w:r>
      <w:r w:rsidR="008D2E95">
        <w:rPr>
          <w:lang w:val="hy-AM"/>
        </w:rPr>
        <w:t xml:space="preserve">2018-2021թթ. ընթացքում ՀՀ տնտեսությունում գրանցված հետընթացը և </w:t>
      </w:r>
      <w:r w:rsidR="00257A10">
        <w:rPr>
          <w:lang w:val="hy-AM"/>
        </w:rPr>
        <w:t xml:space="preserve">կառավարության գործունեության </w:t>
      </w:r>
      <w:r w:rsidR="00944DF1">
        <w:rPr>
          <w:lang w:val="hy-AM"/>
        </w:rPr>
        <w:t>բացասական</w:t>
      </w:r>
      <w:r w:rsidR="008D2E95">
        <w:rPr>
          <w:lang w:val="hy-AM"/>
        </w:rPr>
        <w:t xml:space="preserve"> </w:t>
      </w:r>
      <w:r w:rsidR="00257A10">
        <w:rPr>
          <w:lang w:val="hy-AM"/>
        </w:rPr>
        <w:t>արդյունքները</w:t>
      </w:r>
      <w:r w:rsidR="008D2E95">
        <w:rPr>
          <w:lang w:val="hy-AM"/>
        </w:rPr>
        <w:t xml:space="preserve">, ինչպես նաև առաջիկա տարիներին կառավարության տնտեսական </w:t>
      </w:r>
      <w:r w:rsidR="004C563F">
        <w:rPr>
          <w:lang w:val="hy-AM"/>
        </w:rPr>
        <w:t xml:space="preserve">աճի </w:t>
      </w:r>
      <w:r w:rsidR="008D2E95">
        <w:rPr>
          <w:lang w:val="hy-AM"/>
        </w:rPr>
        <w:t>քաղաքականության հետ կապված անորոշություններն ու անհիմն լավատեսությունը</w:t>
      </w:r>
      <w:r w:rsidR="004C563F">
        <w:rPr>
          <w:lang w:val="hy-AM"/>
        </w:rPr>
        <w:t xml:space="preserve">` </w:t>
      </w:r>
      <w:r w:rsidR="004C563F" w:rsidRPr="00944DF1">
        <w:rPr>
          <w:b/>
          <w:lang w:val="hy-AM"/>
        </w:rPr>
        <w:t xml:space="preserve">մեծ ռիսկի տակ է դրվում </w:t>
      </w:r>
      <w:r w:rsidR="00030DFD" w:rsidRPr="00944DF1">
        <w:rPr>
          <w:b/>
          <w:lang w:val="hy-AM"/>
        </w:rPr>
        <w:t xml:space="preserve">նաև </w:t>
      </w:r>
      <w:r w:rsidR="004C563F" w:rsidRPr="00944DF1">
        <w:rPr>
          <w:b/>
          <w:lang w:val="hy-AM"/>
        </w:rPr>
        <w:t>ՀՀ սոցիալ-տնտեսական վերականգնումն ու առաջընթացն ապագա տարիներին</w:t>
      </w:r>
      <w:r w:rsidR="004C563F">
        <w:rPr>
          <w:lang w:val="hy-AM"/>
        </w:rPr>
        <w:t xml:space="preserve">: </w:t>
      </w:r>
    </w:p>
    <w:p w14:paraId="6A3B26E9" w14:textId="1651D7B3" w:rsidR="008E3735" w:rsidRPr="00B863D3" w:rsidRDefault="00E94C70" w:rsidP="00F4691D">
      <w:pPr>
        <w:pStyle w:val="Heading1"/>
      </w:pPr>
      <w:r>
        <w:br w:type="page"/>
      </w:r>
      <w:bookmarkStart w:id="3" w:name="_Toc88138975"/>
      <w:r w:rsidR="002C6E43" w:rsidRPr="00F81295">
        <w:rPr>
          <w:i/>
          <w:noProof/>
          <w:sz w:val="24"/>
          <w:lang w:val="en-US"/>
        </w:rPr>
        <w:lastRenderedPageBreak/>
        <mc:AlternateContent>
          <mc:Choice Requires="wps">
            <w:drawing>
              <wp:anchor distT="0" distB="0" distL="114300" distR="114300" simplePos="0" relativeHeight="251665408" behindDoc="1" locked="0" layoutInCell="1" allowOverlap="1" wp14:anchorId="02626512" wp14:editId="796859AB">
                <wp:simplePos x="0" y="0"/>
                <wp:positionH relativeFrom="margin">
                  <wp:posOffset>-1718310</wp:posOffset>
                </wp:positionH>
                <wp:positionV relativeFrom="paragraph">
                  <wp:posOffset>-38101</wp:posOffset>
                </wp:positionV>
                <wp:extent cx="5991225" cy="600075"/>
                <wp:effectExtent l="0" t="0" r="9525" b="9525"/>
                <wp:wrapNone/>
                <wp:docPr id="10" name="Прямоугольник 3"/>
                <wp:cNvGraphicFramePr/>
                <a:graphic xmlns:a="http://schemas.openxmlformats.org/drawingml/2006/main">
                  <a:graphicData uri="http://schemas.microsoft.com/office/word/2010/wordprocessingShape">
                    <wps:wsp>
                      <wps:cNvSpPr/>
                      <wps:spPr>
                        <a:xfrm>
                          <a:off x="0" y="0"/>
                          <a:ext cx="5991225" cy="600075"/>
                        </a:xfrm>
                        <a:prstGeom prst="rect">
                          <a:avLst/>
                        </a:prstGeom>
                        <a:solidFill>
                          <a:srgbClr val="00B3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107D9" id="Прямоугольник 3" o:spid="_x0000_s1026" style="position:absolute;margin-left:-135.3pt;margin-top:-3pt;width:471.75pt;height:4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" fillcolor="#00b3c4" stroked="f" strokeweight="1pt">
                <w10:wrap anchorx="margin"/>
              </v:rect>
            </w:pict>
          </mc:Fallback>
        </mc:AlternateContent>
      </w:r>
      <w:r w:rsidR="008E3735" w:rsidRPr="00186240">
        <w:t xml:space="preserve">2. </w:t>
      </w:r>
      <w:r w:rsidR="008E3735" w:rsidRPr="00B863D3">
        <w:t xml:space="preserve">ՏՆՏԵՍԱԿԱՆ ՄԻՋԱՎԱՅՐԸ ԵՎ ՏՆՏԵՍԱԿԱՆ </w:t>
      </w:r>
      <w:r w:rsidR="00E838D2" w:rsidRPr="00E838D2">
        <w:t xml:space="preserve">                           </w:t>
      </w:r>
      <w:r w:rsidR="008E3735" w:rsidRPr="00B863D3">
        <w:t>ԱՃԻ ԿԱՌՈՒՑՎՔԸ</w:t>
      </w:r>
      <w:bookmarkEnd w:id="3"/>
    </w:p>
    <w:p w14:paraId="7A50A2AA" w14:textId="355154BE" w:rsidR="008E3735" w:rsidRPr="00B43983" w:rsidRDefault="008E3735" w:rsidP="008E3735">
      <w:pPr>
        <w:spacing w:before="240"/>
        <w:rPr>
          <w:b/>
          <w:sz w:val="28"/>
          <w:lang w:val="hy-AM"/>
        </w:rPr>
      </w:pPr>
      <w:r>
        <w:rPr>
          <w:lang w:val="hy-AM"/>
        </w:rPr>
        <w:t xml:space="preserve">Տնտեսական </w:t>
      </w:r>
      <w:r w:rsidR="00540C5A">
        <w:rPr>
          <w:lang w:val="hy-AM"/>
        </w:rPr>
        <w:t>միջավայրում</w:t>
      </w:r>
      <w:r>
        <w:rPr>
          <w:lang w:val="hy-AM"/>
        </w:rPr>
        <w:t xml:space="preserve"> առանձին-առանձին </w:t>
      </w:r>
      <w:r w:rsidR="00540C5A">
        <w:rPr>
          <w:lang w:val="hy-AM"/>
        </w:rPr>
        <w:t xml:space="preserve">դիտարկենք </w:t>
      </w:r>
      <w:r>
        <w:rPr>
          <w:lang w:val="hy-AM"/>
        </w:rPr>
        <w:t>տնտեսական աճի կառուցվածքային բաղադրիչներն ու դրանց մասով ՀՀ կառավարության որդեգրած քաղաքականությունները` փորձելով ավելի խոր</w:t>
      </w:r>
      <w:r w:rsidR="0043190E">
        <w:rPr>
          <w:lang w:val="hy-AM"/>
        </w:rPr>
        <w:t>ապես</w:t>
      </w:r>
      <w:r>
        <w:rPr>
          <w:lang w:val="hy-AM"/>
        </w:rPr>
        <w:t xml:space="preserve"> հասկանալ վերջին տարիներին տնտեսական աճի քաղաքականության ձախողման պատճառները և առաջիկա տարիների հեռանկարները:</w:t>
      </w:r>
    </w:p>
    <w:p w14:paraId="027D54CA" w14:textId="149C2407" w:rsidR="008E3735" w:rsidRPr="00A74E99" w:rsidRDefault="008E3735" w:rsidP="00A83257">
      <w:pPr>
        <w:pStyle w:val="Heading2"/>
      </w:pPr>
      <w:bookmarkStart w:id="4" w:name="_Toc88138976"/>
      <w:r w:rsidRPr="00A74E99">
        <w:t>2.1. Ներդրումների աճն ու տնտեսության ենթակառուցվածքների զարգացումը` մրցունակության և կայուն աճի նախադրյալ</w:t>
      </w:r>
      <w:r w:rsidR="00141372" w:rsidRPr="00A74E99">
        <w:t>ներ</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72222E4B" w14:textId="77777777" w:rsidTr="00FC2CE7">
        <w:tc>
          <w:tcPr>
            <w:tcW w:w="9062" w:type="dxa"/>
            <w:shd w:val="clear" w:color="auto" w:fill="EDEDED" w:themeFill="accent3" w:themeFillTint="33"/>
          </w:tcPr>
          <w:p w14:paraId="1D2A74C5" w14:textId="77777777" w:rsidR="008E3735" w:rsidRPr="00A74E99" w:rsidRDefault="008E3735" w:rsidP="00FC2CE7">
            <w:pPr>
              <w:spacing w:before="60" w:after="60" w:line="276" w:lineRule="auto"/>
              <w:jc w:val="center"/>
              <w:rPr>
                <w:color w:val="00B3C4"/>
                <w:sz w:val="22"/>
                <w:lang w:val="hy-AM"/>
              </w:rPr>
            </w:pPr>
            <w:r w:rsidRPr="00A74E99">
              <w:rPr>
                <w:color w:val="00B3C4"/>
                <w:sz w:val="22"/>
                <w:lang w:val="hy-AM"/>
              </w:rPr>
              <w:t>ՀՀ կառավարության 2019թ. ծրագիր</w:t>
            </w:r>
          </w:p>
          <w:p w14:paraId="00CE6391" w14:textId="77777777" w:rsidR="008E3735" w:rsidRPr="00081849" w:rsidRDefault="008E3735" w:rsidP="008E3735">
            <w:pPr>
              <w:pStyle w:val="ListParagraph"/>
              <w:numPr>
                <w:ilvl w:val="0"/>
                <w:numId w:val="10"/>
              </w:numPr>
              <w:spacing w:before="60" w:after="60" w:line="276" w:lineRule="auto"/>
              <w:ind w:left="318" w:hanging="284"/>
              <w:rPr>
                <w:sz w:val="20"/>
                <w:lang w:val="hy-AM"/>
              </w:rPr>
            </w:pPr>
            <w:r w:rsidRPr="00081849">
              <w:rPr>
                <w:b/>
                <w:sz w:val="20"/>
                <w:lang w:val="hy-AM"/>
              </w:rPr>
              <w:t xml:space="preserve">Էական նշանակություն կունենան ինչպես ներքին, այնպես էլ օտարերկրյա ներդրումները: </w:t>
            </w:r>
            <w:r w:rsidRPr="00081849">
              <w:rPr>
                <w:sz w:val="20"/>
                <w:lang w:val="hy-AM"/>
              </w:rPr>
              <w:t>Ներքին խնայողությունների խթանման և օտարերկրյա ներդրումների ծավալների շնորհիվ Կառավարության ներկա ծրագրի իրականացման ավարտին</w:t>
            </w:r>
            <w:r w:rsidRPr="00081849">
              <w:rPr>
                <w:b/>
                <w:sz w:val="20"/>
                <w:lang w:val="hy-AM"/>
              </w:rPr>
              <w:t xml:space="preserve"> հիմնական միջոցների տարեկան համախառն կուտակումը ՀՆԱ-ի նկատմամբ պետք է հասնի 23-25% մակարդակի</w:t>
            </w:r>
            <w:r w:rsidRPr="00081849">
              <w:rPr>
                <w:sz w:val="20"/>
                <w:lang w:val="hy-AM"/>
              </w:rPr>
              <w:t>:</w:t>
            </w:r>
          </w:p>
          <w:p w14:paraId="08CE6C6C" w14:textId="77777777" w:rsidR="008E3735" w:rsidRPr="00186240" w:rsidRDefault="008E3735" w:rsidP="008E3735">
            <w:pPr>
              <w:pStyle w:val="ListParagraph"/>
              <w:numPr>
                <w:ilvl w:val="0"/>
                <w:numId w:val="10"/>
              </w:numPr>
              <w:spacing w:before="60" w:after="60" w:line="276" w:lineRule="auto"/>
              <w:ind w:left="318" w:hanging="284"/>
              <w:rPr>
                <w:lang w:val="hy-AM"/>
              </w:rPr>
            </w:pPr>
            <w:r w:rsidRPr="00081849">
              <w:rPr>
                <w:sz w:val="20"/>
                <w:lang w:val="hy-AM"/>
              </w:rPr>
              <w:t xml:space="preserve">Ֆիզիկական կապիտալի զարգացման համար </w:t>
            </w:r>
            <w:r w:rsidRPr="00081849">
              <w:rPr>
                <w:b/>
                <w:sz w:val="20"/>
                <w:lang w:val="hy-AM"/>
              </w:rPr>
              <w:t>շարունակաբար բարելավվելու են հավելյալ արժեք գեներացնող ենթակառուցվածքները</w:t>
            </w:r>
            <w:r w:rsidRPr="00081849">
              <w:rPr>
                <w:sz w:val="20"/>
                <w:lang w:val="hy-AM"/>
              </w:rPr>
              <w:t>, ինչն իր հերթին կնպաստի տարածքային համաչափ զարգացմանը:</w:t>
            </w:r>
          </w:p>
        </w:tc>
      </w:tr>
    </w:tbl>
    <w:p w14:paraId="2456EE65" w14:textId="6230F519" w:rsidR="008E3735" w:rsidRDefault="008E3735" w:rsidP="008E3735">
      <w:pPr>
        <w:spacing w:before="240"/>
        <w:rPr>
          <w:lang w:val="hy-AM"/>
        </w:rPr>
      </w:pPr>
      <w:r w:rsidRPr="004A583B">
        <w:rPr>
          <w:b/>
          <w:lang w:val="hy-AM"/>
        </w:rPr>
        <w:t xml:space="preserve">ՀՀ կառավարության գործունեության տարիներին գրանցված արդյունքները </w:t>
      </w:r>
      <w:r>
        <w:rPr>
          <w:b/>
          <w:lang w:val="hy-AM"/>
        </w:rPr>
        <w:t>փաստում են ներդրումային քաղաքականության տապալման</w:t>
      </w:r>
      <w:r w:rsidRPr="004A583B">
        <w:rPr>
          <w:b/>
          <w:lang w:val="hy-AM"/>
        </w:rPr>
        <w:t xml:space="preserve"> մասին: </w:t>
      </w:r>
      <w:r>
        <w:rPr>
          <w:lang w:val="hy-AM"/>
        </w:rPr>
        <w:t>2017</w:t>
      </w:r>
      <w:r w:rsidR="005936D3">
        <w:rPr>
          <w:lang w:val="hy-AM"/>
        </w:rPr>
        <w:t xml:space="preserve">թ. </w:t>
      </w:r>
      <w:r>
        <w:rPr>
          <w:lang w:val="hy-AM"/>
        </w:rPr>
        <w:t>գրանցված 9.7</w:t>
      </w:r>
      <w:r w:rsidRPr="00186240">
        <w:rPr>
          <w:lang w:val="hy-AM"/>
        </w:rPr>
        <w:t>%</w:t>
      </w:r>
      <w:r>
        <w:rPr>
          <w:lang w:val="hy-AM"/>
        </w:rPr>
        <w:t xml:space="preserve"> աճից հետո 2018-ին ներդրումների աճի տեմպը կրկնակի դանդաղել է, ինչի արդյունքում աճը կազմել է 4.8</w:t>
      </w:r>
      <w:r w:rsidRPr="00186240">
        <w:rPr>
          <w:lang w:val="hy-AM"/>
        </w:rPr>
        <w:t xml:space="preserve">%, </w:t>
      </w:r>
      <w:r>
        <w:rPr>
          <w:lang w:val="hy-AM"/>
        </w:rPr>
        <w:t xml:space="preserve">իսկ 2019-ին այն </w:t>
      </w:r>
      <w:r w:rsidR="005A3E53">
        <w:rPr>
          <w:lang w:val="hy-AM"/>
        </w:rPr>
        <w:t xml:space="preserve">դանդաղել </w:t>
      </w:r>
      <w:r>
        <w:rPr>
          <w:lang w:val="hy-AM"/>
        </w:rPr>
        <w:t>է 0.4 տոկոսային կետով և կազմել 4.4</w:t>
      </w:r>
      <w:r w:rsidRPr="00186240">
        <w:rPr>
          <w:lang w:val="hy-AM"/>
        </w:rPr>
        <w:t xml:space="preserve">%: 2020թ. </w:t>
      </w:r>
      <w:r>
        <w:rPr>
          <w:lang w:val="hy-AM"/>
        </w:rPr>
        <w:t>պատկերն ավելի է վատթարացել</w:t>
      </w:r>
      <w:r w:rsidR="005936D3">
        <w:rPr>
          <w:lang w:val="hy-AM"/>
        </w:rPr>
        <w:t>`</w:t>
      </w:r>
      <w:r>
        <w:rPr>
          <w:lang w:val="hy-AM"/>
        </w:rPr>
        <w:t xml:space="preserve"> ներդրումներ</w:t>
      </w:r>
      <w:r w:rsidR="00EF0B75">
        <w:rPr>
          <w:lang w:val="hy-AM"/>
        </w:rPr>
        <w:t>ը</w:t>
      </w:r>
      <w:r>
        <w:rPr>
          <w:lang w:val="hy-AM"/>
        </w:rPr>
        <w:t xml:space="preserve"> </w:t>
      </w:r>
      <w:r w:rsidR="005936D3">
        <w:rPr>
          <w:lang w:val="hy-AM"/>
        </w:rPr>
        <w:t>կրճատվել են</w:t>
      </w:r>
      <w:r>
        <w:rPr>
          <w:lang w:val="hy-AM"/>
        </w:rPr>
        <w:t xml:space="preserve"> շուրջ 8.6</w:t>
      </w:r>
      <w:r w:rsidRPr="00186240">
        <w:rPr>
          <w:lang w:val="hy-AM"/>
        </w:rPr>
        <w:t>%</w:t>
      </w:r>
      <w:r w:rsidR="005936D3">
        <w:rPr>
          <w:lang w:val="hy-AM"/>
        </w:rPr>
        <w:t>-ով</w:t>
      </w:r>
      <w:r>
        <w:rPr>
          <w:lang w:val="hy-AM"/>
        </w:rPr>
        <w:t xml:space="preserve">: </w:t>
      </w:r>
      <w:r w:rsidRPr="008C3998">
        <w:rPr>
          <w:b/>
          <w:lang w:val="hy-AM"/>
        </w:rPr>
        <w:t>Ընդ որում, մտահոգիչ է ինչպես մասնավոր, այնպես էլ պետական</w:t>
      </w:r>
      <w:r w:rsidR="005C17DE">
        <w:rPr>
          <w:rStyle w:val="FootnoteReference"/>
          <w:lang w:val="hy-AM"/>
        </w:rPr>
        <w:footnoteReference w:id="10"/>
      </w:r>
      <w:r w:rsidRPr="008C3998">
        <w:rPr>
          <w:b/>
          <w:lang w:val="hy-AM"/>
        </w:rPr>
        <w:t xml:space="preserve"> ներդրումների դինամիկան:</w:t>
      </w:r>
    </w:p>
    <w:p w14:paraId="36044D38" w14:textId="0C2CD84A" w:rsidR="008E3735" w:rsidRDefault="008E3735" w:rsidP="008E3735">
      <w:pPr>
        <w:spacing w:before="240"/>
        <w:rPr>
          <w:lang w:val="hy-AM"/>
        </w:rPr>
      </w:pPr>
      <w:r w:rsidRPr="001A4B52">
        <w:rPr>
          <w:b/>
          <w:lang w:val="hy-AM"/>
        </w:rPr>
        <w:t>Մասնավոր ներդրումները</w:t>
      </w:r>
      <w:r w:rsidR="008C0061">
        <w:rPr>
          <w:rStyle w:val="FootnoteReference"/>
          <w:b/>
          <w:lang w:val="hy-AM"/>
        </w:rPr>
        <w:footnoteReference w:id="11"/>
      </w:r>
      <w:r>
        <w:rPr>
          <w:lang w:val="hy-AM"/>
        </w:rPr>
        <w:t>, թեև 2018 թվականին աճել են 19.6</w:t>
      </w:r>
      <w:r w:rsidRPr="00186240">
        <w:rPr>
          <w:lang w:val="hy-AM"/>
        </w:rPr>
        <w:t>%</w:t>
      </w:r>
      <w:r>
        <w:rPr>
          <w:lang w:val="hy-AM"/>
        </w:rPr>
        <w:t xml:space="preserve">-ով, սակայն այդ աճը հիմնականում պայմանավորված է եղել տարվա առաջին եռամսյակում </w:t>
      </w:r>
      <w:r w:rsidRPr="00186240">
        <w:rPr>
          <w:lang w:val="hy-AM"/>
        </w:rPr>
        <w:t>(</w:t>
      </w:r>
      <w:r>
        <w:rPr>
          <w:lang w:val="hy-AM"/>
        </w:rPr>
        <w:t>մինչև իշխանափոխությունը</w:t>
      </w:r>
      <w:r w:rsidRPr="00186240">
        <w:rPr>
          <w:lang w:val="hy-AM"/>
        </w:rPr>
        <w:t>)</w:t>
      </w:r>
      <w:r>
        <w:rPr>
          <w:lang w:val="hy-AM"/>
        </w:rPr>
        <w:t xml:space="preserve"> ներդրումների ծավալի աճով, ինչից հետո մասնավոր ներդրումների աճի տեմպը շարունակաբար դանդաղել է: 2019 թվականին մասնավոր ներդրումները նախորդ տարվա համեմատ կրճատվել են 0.5</w:t>
      </w:r>
      <w:r w:rsidRPr="00186240">
        <w:rPr>
          <w:lang w:val="hy-AM"/>
        </w:rPr>
        <w:t>%-</w:t>
      </w:r>
      <w:r>
        <w:rPr>
          <w:lang w:val="hy-AM"/>
        </w:rPr>
        <w:t>ով, իսկ 2020թ. գրանցվել է բավական խոր անկում` շուրջ 14.5</w:t>
      </w:r>
      <w:r w:rsidRPr="00186240">
        <w:rPr>
          <w:lang w:val="hy-AM"/>
        </w:rPr>
        <w:t>%</w:t>
      </w:r>
      <w:r>
        <w:rPr>
          <w:lang w:val="hy-AM"/>
        </w:rPr>
        <w:t xml:space="preserve">: </w:t>
      </w:r>
      <w:r w:rsidRPr="004A583B">
        <w:rPr>
          <w:b/>
          <w:lang w:val="hy-AM"/>
        </w:rPr>
        <w:t xml:space="preserve">Ստացվում է, որ ՀՀ կառավարությանը չի հաջողվել ապահովել ներդրումային այնպիսի միջավայր, որը կխթաներ մասնավոր ներդրումները և կապահովեր դրանց շարունակական </w:t>
      </w:r>
      <w:r w:rsidRPr="004A583B">
        <w:rPr>
          <w:b/>
          <w:lang w:val="hy-AM"/>
        </w:rPr>
        <w:lastRenderedPageBreak/>
        <w:t>աճը` նպաստելով տնտեսության արտադրական կարողությունների ընդլայնմանը: Հակառակը, մասնավոր ներդրումները շարունակաբար նվազել են` նպաստելով տնտեսական աճի քաղաքականության ձախողմանը:</w:t>
      </w:r>
      <w:r>
        <w:rPr>
          <w:lang w:val="hy-AM"/>
        </w:rPr>
        <w:t xml:space="preserve"> </w:t>
      </w:r>
    </w:p>
    <w:p w14:paraId="5E131D7B" w14:textId="19E730F0" w:rsidR="008E3735" w:rsidRDefault="008E3735" w:rsidP="008E3735">
      <w:pPr>
        <w:spacing w:before="240"/>
        <w:rPr>
          <w:b/>
          <w:lang w:val="hy-AM"/>
        </w:rPr>
      </w:pPr>
      <w:r w:rsidRPr="001A5818">
        <w:rPr>
          <w:b/>
          <w:lang w:val="hy-AM"/>
        </w:rPr>
        <w:t>Օտարերկրյա ներդրումների</w:t>
      </w:r>
      <w:r>
        <w:rPr>
          <w:lang w:val="hy-AM"/>
        </w:rPr>
        <w:t xml:space="preserve"> մասով գրանցված արդյունքները 2018-2020թթ. ևս մտահոգիչ են: Մասնավորապես, օտարերկրյա ուղղակի ներդրումների</w:t>
      </w:r>
      <w:r w:rsidR="00186B00">
        <w:rPr>
          <w:rStyle w:val="FootnoteReference"/>
          <w:lang w:val="hy-AM"/>
        </w:rPr>
        <w:footnoteReference w:id="12"/>
      </w:r>
      <w:r>
        <w:rPr>
          <w:lang w:val="hy-AM"/>
        </w:rPr>
        <w:t xml:space="preserve"> </w:t>
      </w:r>
      <w:r w:rsidRPr="00186240">
        <w:rPr>
          <w:lang w:val="hy-AM"/>
        </w:rPr>
        <w:t>(</w:t>
      </w:r>
      <w:r>
        <w:rPr>
          <w:lang w:val="hy-AM"/>
        </w:rPr>
        <w:t>ՕՈՒՆ</w:t>
      </w:r>
      <w:r w:rsidRPr="00186240">
        <w:rPr>
          <w:lang w:val="hy-AM"/>
        </w:rPr>
        <w:t>)</w:t>
      </w:r>
      <w:r>
        <w:rPr>
          <w:lang w:val="hy-AM"/>
        </w:rPr>
        <w:t xml:space="preserve"> կշիռը ՀՆԱ-ում 2018 թվականից ի վեր գրանցել է կտրուկ նվազող դինամիկա, ինչի արդյունքում 2019-ին 2018-ի համեմատ այս հարաբերակցությունը կրճատվել է 1.4 տոկոսային կետով, իսկ 2020-ին 2019-ի համեմատ այն նվազել է ևս 0.3 տոկոսային կետով` կազմելով ընդամենը 0.4</w:t>
      </w:r>
      <w:r w:rsidRPr="00186240">
        <w:rPr>
          <w:lang w:val="hy-AM"/>
        </w:rPr>
        <w:t xml:space="preserve">%: </w:t>
      </w:r>
      <w:r>
        <w:rPr>
          <w:lang w:val="hy-AM"/>
        </w:rPr>
        <w:t xml:space="preserve">Արդյունքում 2020-ին 2017-ի համեմատ </w:t>
      </w:r>
      <w:r w:rsidR="0043190E">
        <w:rPr>
          <w:lang w:val="hy-AM"/>
        </w:rPr>
        <w:t xml:space="preserve">     </w:t>
      </w:r>
      <w:r>
        <w:rPr>
          <w:lang w:val="hy-AM"/>
        </w:rPr>
        <w:t xml:space="preserve">ՕՈՒՆ-ի կշիռը ՀՆԱ-ում կրճատվել է շուրջ 1.8 տոկոսային կետով: Ընդ որում, </w:t>
      </w:r>
      <w:r w:rsidR="0043190E">
        <w:rPr>
          <w:lang w:val="hy-AM"/>
        </w:rPr>
        <w:t xml:space="preserve">  </w:t>
      </w:r>
      <w:r>
        <w:rPr>
          <w:lang w:val="hy-AM"/>
        </w:rPr>
        <w:t>2019-ին նախորդ տարվա համեմատ ՕՈՒՆ-ի ծավալները կրճատվել են ավելի քան 60</w:t>
      </w:r>
      <w:r w:rsidRPr="00186240">
        <w:rPr>
          <w:lang w:val="hy-AM"/>
        </w:rPr>
        <w:t>%-</w:t>
      </w:r>
      <w:r>
        <w:rPr>
          <w:lang w:val="hy-AM"/>
        </w:rPr>
        <w:t>ով, այսինքն</w:t>
      </w:r>
      <w:r w:rsidR="0043190E">
        <w:rPr>
          <w:lang w:val="hy-AM"/>
        </w:rPr>
        <w:t>՝</w:t>
      </w:r>
      <w:r>
        <w:rPr>
          <w:lang w:val="hy-AM"/>
        </w:rPr>
        <w:t xml:space="preserve"> կառավարության խոստման առաջին իսկ տարում նկատվել է ՕՈՒՆ-ի շեշտակի անկում, իսկ 2020-ին 2019-ի համեմատ ՕՈՒՆ-ը կրճատվել է 53.3</w:t>
      </w:r>
      <w:r w:rsidRPr="00186240">
        <w:rPr>
          <w:lang w:val="hy-AM"/>
        </w:rPr>
        <w:t>%-</w:t>
      </w:r>
      <w:r>
        <w:rPr>
          <w:lang w:val="hy-AM"/>
        </w:rPr>
        <w:t>ով:</w:t>
      </w:r>
      <w:r w:rsidRPr="005649A8">
        <w:rPr>
          <w:lang w:val="hy-AM"/>
        </w:rPr>
        <w:t xml:space="preserve"> </w:t>
      </w:r>
      <w:r w:rsidRPr="005649A8">
        <w:rPr>
          <w:b/>
          <w:lang w:val="hy-AM"/>
        </w:rPr>
        <w:t xml:space="preserve">Սա իր հերթին հստակորեն արտահայտում է օտարերկրա ներդրողների վերաբերմունքը նշված ժամանակահատվածում ՀՀ ներդրումային միջավայրի վերաբերյալ` ամրագրելով այն փաստը, որ կառավարությանը ոչ միայն չի հաջողվել գրանցել դրական արդյունքներ, այլև </w:t>
      </w:r>
      <w:r>
        <w:rPr>
          <w:b/>
          <w:lang w:val="hy-AM"/>
        </w:rPr>
        <w:t xml:space="preserve">իր կառավարման տարիներին </w:t>
      </w:r>
      <w:r w:rsidRPr="005649A8">
        <w:rPr>
          <w:b/>
          <w:lang w:val="hy-AM"/>
        </w:rPr>
        <w:t>իրավիճակն էականորեն վատթարացել է:</w:t>
      </w:r>
    </w:p>
    <w:p w14:paraId="7BE71227" w14:textId="2F724B80" w:rsidR="006D41AB" w:rsidRDefault="008E3735" w:rsidP="009D4A3C">
      <w:pPr>
        <w:spacing w:before="240" w:after="0"/>
        <w:rPr>
          <w:lang w:val="hy-AM"/>
        </w:rPr>
      </w:pPr>
      <w:r w:rsidRPr="001A4B52">
        <w:rPr>
          <w:b/>
          <w:lang w:val="hy-AM"/>
        </w:rPr>
        <w:t>Պետական ներդրումների</w:t>
      </w:r>
      <w:r>
        <w:rPr>
          <w:b/>
          <w:lang w:val="hy-AM"/>
        </w:rPr>
        <w:t xml:space="preserve"> քաղաքականությունը ևս տապալվել է: </w:t>
      </w:r>
      <w:r w:rsidRPr="000F5805">
        <w:rPr>
          <w:lang w:val="hy-AM"/>
        </w:rPr>
        <w:t>Դրանց</w:t>
      </w:r>
      <w:r>
        <w:rPr>
          <w:lang w:val="hy-AM"/>
        </w:rPr>
        <w:t xml:space="preserve"> իրական ծավալը</w:t>
      </w:r>
      <w:r w:rsidR="00272423">
        <w:rPr>
          <w:rStyle w:val="FootnoteReference"/>
          <w:lang w:val="hy-AM"/>
        </w:rPr>
        <w:footnoteReference w:id="13"/>
      </w:r>
      <w:r>
        <w:rPr>
          <w:lang w:val="hy-AM"/>
        </w:rPr>
        <w:t xml:space="preserve"> 2018</w:t>
      </w:r>
      <w:r w:rsidR="006A1B15">
        <w:rPr>
          <w:lang w:val="hy-AM"/>
        </w:rPr>
        <w:t xml:space="preserve">-ին </w:t>
      </w:r>
      <w:r>
        <w:rPr>
          <w:lang w:val="hy-AM"/>
        </w:rPr>
        <w:t>2017-ի համեմատ շեշտակի անկում է ապրել շուրջ 37.4</w:t>
      </w:r>
      <w:r w:rsidRPr="00186240">
        <w:rPr>
          <w:lang w:val="hy-AM"/>
        </w:rPr>
        <w:t>%-</w:t>
      </w:r>
      <w:r>
        <w:rPr>
          <w:lang w:val="hy-AM"/>
        </w:rPr>
        <w:t>ով, իսկ 2019-ին 2018-ի համեմատ գրանցված 31.1</w:t>
      </w:r>
      <w:r w:rsidRPr="00186240">
        <w:rPr>
          <w:lang w:val="hy-AM"/>
        </w:rPr>
        <w:t xml:space="preserve">% </w:t>
      </w:r>
      <w:r>
        <w:rPr>
          <w:lang w:val="hy-AM"/>
        </w:rPr>
        <w:t>աճը` 2018-ի խոր անկումից հետո կարելի է համարել խիստ սիմվոլիկ, քանի որ 2017</w:t>
      </w:r>
      <w:r w:rsidR="006A1B15">
        <w:rPr>
          <w:lang w:val="hy-AM"/>
        </w:rPr>
        <w:t xml:space="preserve">թ. </w:t>
      </w:r>
      <w:r>
        <w:rPr>
          <w:lang w:val="hy-AM"/>
        </w:rPr>
        <w:t>համեմատ 2019-ին պետական ներդրումները կրճատվել են շուրջ 4 մլրդ դրամով: 2020թ. տնտեսական խոր ճգնաժամային իրավիճակում ՀՀ կառավարությունը վարել է խթանող հարկաբյուջետային քաղաքականություն, ինչի արդյունքում պետական ներդրումներն աճել են 15.6</w:t>
      </w:r>
      <w:r w:rsidRPr="00186240">
        <w:rPr>
          <w:lang w:val="hy-AM"/>
        </w:rPr>
        <w:t>%-</w:t>
      </w:r>
      <w:r>
        <w:rPr>
          <w:lang w:val="hy-AM"/>
        </w:rPr>
        <w:t xml:space="preserve">ով: </w:t>
      </w:r>
    </w:p>
    <w:p w14:paraId="3961B348" w14:textId="2A22D6C4" w:rsidR="00344DD7" w:rsidRDefault="006A1B15" w:rsidP="009D4A3C">
      <w:pPr>
        <w:spacing w:before="240" w:after="0"/>
        <w:rPr>
          <w:lang w:val="hy-AM"/>
        </w:rPr>
      </w:pPr>
      <w:r w:rsidRPr="006A1B15">
        <w:rPr>
          <w:lang w:val="hy-AM"/>
        </w:rPr>
        <w:t>Ա</w:t>
      </w:r>
      <w:r w:rsidR="008E3735" w:rsidRPr="006A1B15">
        <w:rPr>
          <w:lang w:val="hy-AM"/>
        </w:rPr>
        <w:t xml:space="preserve">նհանգստացնող է նաև </w:t>
      </w:r>
      <w:r w:rsidRPr="006A1B15">
        <w:rPr>
          <w:lang w:val="hy-AM"/>
        </w:rPr>
        <w:t>2018-2020թթ. պետական ներդրումների</w:t>
      </w:r>
      <w:r w:rsidR="008E3735" w:rsidRPr="006A1B15">
        <w:rPr>
          <w:lang w:val="hy-AM"/>
        </w:rPr>
        <w:t xml:space="preserve"> </w:t>
      </w:r>
      <w:r w:rsidR="00CF3805">
        <w:rPr>
          <w:lang w:val="hy-AM"/>
        </w:rPr>
        <w:t>ա</w:t>
      </w:r>
      <w:r w:rsidR="00CF3805" w:rsidRPr="009D4A3C">
        <w:rPr>
          <w:lang w:val="hy-AM"/>
        </w:rPr>
        <w:t xml:space="preserve">նընդմեջ </w:t>
      </w:r>
      <w:r w:rsidR="008E3735" w:rsidRPr="006A1B15">
        <w:rPr>
          <w:lang w:val="hy-AM"/>
        </w:rPr>
        <w:t>թերակատարման փաստը</w:t>
      </w:r>
      <w:r w:rsidR="00736316">
        <w:rPr>
          <w:lang w:val="hy-AM"/>
        </w:rPr>
        <w:t xml:space="preserve">` </w:t>
      </w:r>
      <w:r w:rsidR="008E3735">
        <w:rPr>
          <w:lang w:val="hy-AM"/>
        </w:rPr>
        <w:t>2018-ին</w:t>
      </w:r>
      <w:r w:rsidR="00736316">
        <w:rPr>
          <w:lang w:val="hy-AM"/>
        </w:rPr>
        <w:t>`</w:t>
      </w:r>
      <w:r w:rsidR="008E3735">
        <w:rPr>
          <w:lang w:val="hy-AM"/>
        </w:rPr>
        <w:t xml:space="preserve"> 22.0</w:t>
      </w:r>
      <w:r w:rsidR="008E3735" w:rsidRPr="00186240">
        <w:rPr>
          <w:lang w:val="hy-AM"/>
        </w:rPr>
        <w:t>%-</w:t>
      </w:r>
      <w:r w:rsidR="008E3735">
        <w:rPr>
          <w:lang w:val="hy-AM"/>
        </w:rPr>
        <w:t>ով, 2019-ին` 26.7</w:t>
      </w:r>
      <w:r w:rsidR="008E3735" w:rsidRPr="00186240">
        <w:rPr>
          <w:lang w:val="hy-AM"/>
        </w:rPr>
        <w:t>%-</w:t>
      </w:r>
      <w:r w:rsidR="008E3735">
        <w:rPr>
          <w:lang w:val="hy-AM"/>
        </w:rPr>
        <w:t>ով, իսկ 2020-ին` 15.4</w:t>
      </w:r>
      <w:r w:rsidR="008E3735" w:rsidRPr="00186240">
        <w:rPr>
          <w:lang w:val="hy-AM"/>
        </w:rPr>
        <w:t>%-</w:t>
      </w:r>
      <w:r w:rsidR="008E3735">
        <w:rPr>
          <w:lang w:val="hy-AM"/>
        </w:rPr>
        <w:t xml:space="preserve">ով: </w:t>
      </w:r>
      <w:r w:rsidR="00736316">
        <w:rPr>
          <w:lang w:val="hy-AM"/>
        </w:rPr>
        <w:t xml:space="preserve">Ընդ որում, </w:t>
      </w:r>
      <w:r w:rsidR="00344DD7">
        <w:rPr>
          <w:lang w:val="hy-AM"/>
        </w:rPr>
        <w:t>2019-2020թթ. ընթացքում ՀՀ կառավարությունն էականորեն կամ գրեթե լիովին տապալել է պետական ներդրումների այն ծրագրեր</w:t>
      </w:r>
      <w:r w:rsidR="006D41AB">
        <w:rPr>
          <w:lang w:val="hy-AM"/>
        </w:rPr>
        <w:t>ը</w:t>
      </w:r>
      <w:r w:rsidR="00344DD7">
        <w:rPr>
          <w:lang w:val="hy-AM"/>
        </w:rPr>
        <w:t xml:space="preserve">, որոնք ուղղված են` ներդրումների և արտահանման խթանմանը, ՀՀ ճանապարհային ցանցի բարելավմանն ու անվտանգ երթևեկության ապահովմանը, քաղաքային և </w:t>
      </w:r>
      <w:r w:rsidR="00344DD7">
        <w:rPr>
          <w:lang w:val="hy-AM"/>
        </w:rPr>
        <w:lastRenderedPageBreak/>
        <w:t xml:space="preserve">գյուղական ենթակառուցվածքների </w:t>
      </w:r>
      <w:r w:rsidR="006D41AB">
        <w:rPr>
          <w:lang w:val="hy-AM"/>
        </w:rPr>
        <w:t>զարգացմանը</w:t>
      </w:r>
      <w:r w:rsidR="00344DD7">
        <w:rPr>
          <w:lang w:val="hy-AM"/>
        </w:rPr>
        <w:t>, ջրահեռացման և ոռոգման համակարգերի բարելավմանն ու առողջացմանը և այլն</w:t>
      </w:r>
      <w:r w:rsidR="00736316">
        <w:rPr>
          <w:lang w:val="hy-AM"/>
        </w:rPr>
        <w:t xml:space="preserve"> </w:t>
      </w:r>
      <w:r w:rsidR="00736316" w:rsidRPr="00186240">
        <w:rPr>
          <w:lang w:val="hy-AM"/>
        </w:rPr>
        <w:t>(</w:t>
      </w:r>
      <w:r w:rsidR="00736316">
        <w:rPr>
          <w:lang w:val="hy-AM"/>
        </w:rPr>
        <w:t>Աղյուսակ 1</w:t>
      </w:r>
      <w:r w:rsidR="00736316" w:rsidRPr="00186240">
        <w:rPr>
          <w:lang w:val="hy-AM"/>
        </w:rPr>
        <w:t>)</w:t>
      </w:r>
      <w:r w:rsidR="00344DD7">
        <w:rPr>
          <w:lang w:val="hy-AM"/>
        </w:rPr>
        <w:t>:</w:t>
      </w:r>
    </w:p>
    <w:p w14:paraId="742791F7" w14:textId="77777777" w:rsidR="008E3735" w:rsidRDefault="008E3735" w:rsidP="008E3735">
      <w:pPr>
        <w:spacing w:after="0"/>
        <w:rPr>
          <w:lang w:val="hy-AM"/>
        </w:rPr>
      </w:pPr>
    </w:p>
    <w:p w14:paraId="2D17B581" w14:textId="02F09E71" w:rsidR="008E3735" w:rsidRPr="00497073" w:rsidRDefault="008E3735" w:rsidP="008E3735">
      <w:pPr>
        <w:spacing w:after="120"/>
        <w:ind w:firstLine="0"/>
        <w:jc w:val="center"/>
        <w:rPr>
          <w:b/>
          <w:lang w:val="hy-AM"/>
        </w:rPr>
      </w:pPr>
      <w:r w:rsidRPr="00497073">
        <w:rPr>
          <w:b/>
          <w:lang w:val="hy-AM"/>
        </w:rPr>
        <w:t>Աղյուսակ 1. Տնտեսության ենթակառուցվածքների զարգացմանն ուղղված</w:t>
      </w:r>
      <w:r w:rsidR="0043190E">
        <w:rPr>
          <w:b/>
          <w:lang w:val="hy-AM"/>
        </w:rPr>
        <w:t>՝</w:t>
      </w:r>
      <w:r w:rsidRPr="00497073">
        <w:rPr>
          <w:b/>
          <w:lang w:val="hy-AM"/>
        </w:rPr>
        <w:t xml:space="preserve"> </w:t>
      </w:r>
      <w:r w:rsidR="0043190E">
        <w:rPr>
          <w:b/>
          <w:lang w:val="hy-AM"/>
        </w:rPr>
        <w:t xml:space="preserve">  </w:t>
      </w:r>
      <w:r w:rsidRPr="00497073">
        <w:rPr>
          <w:b/>
          <w:lang w:val="hy-AM"/>
        </w:rPr>
        <w:t xml:space="preserve">ՀՀ </w:t>
      </w:r>
      <w:r w:rsidR="004C5048">
        <w:rPr>
          <w:b/>
          <w:lang w:val="hy-AM"/>
        </w:rPr>
        <w:t xml:space="preserve">բյուջետային </w:t>
      </w:r>
      <w:r w:rsidRPr="00497073">
        <w:rPr>
          <w:b/>
          <w:lang w:val="hy-AM"/>
        </w:rPr>
        <w:t xml:space="preserve">ծրագրերի փաստացի հատկացումները և դրանց </w:t>
      </w:r>
      <w:r w:rsidR="004C5048">
        <w:rPr>
          <w:b/>
          <w:lang w:val="hy-AM"/>
        </w:rPr>
        <w:t>թերակատարումը բյուջեի</w:t>
      </w:r>
      <w:r w:rsidRPr="00497073">
        <w:rPr>
          <w:b/>
          <w:lang w:val="hy-AM"/>
        </w:rPr>
        <w:t xml:space="preserve"> ճշտված պլանի նկատմամբ</w:t>
      </w:r>
      <w:r w:rsidR="00CA6465">
        <w:rPr>
          <w:rStyle w:val="FootnoteReference"/>
          <w:b/>
          <w:lang w:val="hy-AM"/>
        </w:rPr>
        <w:footnoteReference w:id="14"/>
      </w:r>
    </w:p>
    <w:tbl>
      <w:tblPr>
        <w:tblStyle w:val="TableGrid"/>
        <w:tblW w:w="0" w:type="auto"/>
        <w:jc w:val="center"/>
        <w:tblLayout w:type="fixed"/>
        <w:tblLook w:val="04A0" w:firstRow="1" w:lastRow="0" w:firstColumn="1" w:lastColumn="0" w:noHBand="0" w:noVBand="1"/>
      </w:tblPr>
      <w:tblGrid>
        <w:gridCol w:w="2552"/>
        <w:gridCol w:w="1133"/>
        <w:gridCol w:w="1133"/>
        <w:gridCol w:w="1133"/>
        <w:gridCol w:w="1133"/>
        <w:gridCol w:w="1133"/>
        <w:gridCol w:w="1134"/>
      </w:tblGrid>
      <w:tr w:rsidR="008E3735" w:rsidRPr="00497073" w14:paraId="35C373B5" w14:textId="77777777" w:rsidTr="002D0EC3">
        <w:trPr>
          <w:trHeight w:val="283"/>
          <w:jc w:val="center"/>
        </w:trPr>
        <w:tc>
          <w:tcPr>
            <w:tcW w:w="2552" w:type="dxa"/>
            <w:vMerge w:val="restart"/>
            <w:noWrap/>
            <w:vAlign w:val="center"/>
            <w:hideMark/>
          </w:tcPr>
          <w:p w14:paraId="019AEA9C" w14:textId="77777777" w:rsidR="008E3735" w:rsidRPr="00186240" w:rsidRDefault="008E3735" w:rsidP="00FC2CE7">
            <w:pPr>
              <w:ind w:firstLine="0"/>
              <w:jc w:val="center"/>
              <w:rPr>
                <w:lang w:val="hy-AM"/>
              </w:rPr>
            </w:pPr>
          </w:p>
        </w:tc>
        <w:tc>
          <w:tcPr>
            <w:tcW w:w="2266" w:type="dxa"/>
            <w:gridSpan w:val="2"/>
            <w:shd w:val="clear" w:color="auto" w:fill="002060"/>
            <w:vAlign w:val="center"/>
          </w:tcPr>
          <w:p w14:paraId="2F2726DC" w14:textId="77777777" w:rsidR="008E3735" w:rsidRPr="002D0EC3" w:rsidRDefault="008E3735" w:rsidP="00FC2CE7">
            <w:pPr>
              <w:ind w:firstLine="0"/>
              <w:jc w:val="center"/>
              <w:rPr>
                <w:b/>
                <w:sz w:val="20"/>
                <w:lang w:val="hy-AM"/>
              </w:rPr>
            </w:pPr>
            <w:r w:rsidRPr="002D0EC3">
              <w:rPr>
                <w:b/>
                <w:sz w:val="20"/>
                <w:lang w:val="hy-AM"/>
              </w:rPr>
              <w:t>2019թ.</w:t>
            </w:r>
          </w:p>
        </w:tc>
        <w:tc>
          <w:tcPr>
            <w:tcW w:w="2266" w:type="dxa"/>
            <w:gridSpan w:val="2"/>
            <w:shd w:val="clear" w:color="auto" w:fill="002060"/>
            <w:vAlign w:val="center"/>
          </w:tcPr>
          <w:p w14:paraId="0C0A84A4" w14:textId="77777777" w:rsidR="008E3735" w:rsidRPr="002D0EC3" w:rsidRDefault="008E3735" w:rsidP="00FC2CE7">
            <w:pPr>
              <w:ind w:firstLine="0"/>
              <w:jc w:val="center"/>
              <w:rPr>
                <w:b/>
                <w:sz w:val="20"/>
                <w:lang w:val="hy-AM"/>
              </w:rPr>
            </w:pPr>
            <w:r w:rsidRPr="002D0EC3">
              <w:rPr>
                <w:b/>
                <w:sz w:val="20"/>
                <w:lang w:val="hy-AM"/>
              </w:rPr>
              <w:t>2020թ.</w:t>
            </w:r>
          </w:p>
        </w:tc>
        <w:tc>
          <w:tcPr>
            <w:tcW w:w="2267" w:type="dxa"/>
            <w:gridSpan w:val="2"/>
            <w:shd w:val="clear" w:color="auto" w:fill="002060"/>
            <w:vAlign w:val="center"/>
          </w:tcPr>
          <w:p w14:paraId="0A8F47D5" w14:textId="77777777" w:rsidR="008E3735" w:rsidRPr="002D0EC3" w:rsidRDefault="008E3735" w:rsidP="00FC2CE7">
            <w:pPr>
              <w:ind w:firstLine="0"/>
              <w:jc w:val="center"/>
              <w:rPr>
                <w:b/>
                <w:sz w:val="20"/>
                <w:lang w:val="hy-AM"/>
              </w:rPr>
            </w:pPr>
            <w:r w:rsidRPr="002D0EC3">
              <w:rPr>
                <w:b/>
                <w:sz w:val="20"/>
                <w:lang w:val="hy-AM"/>
              </w:rPr>
              <w:t xml:space="preserve">2021թ., </w:t>
            </w:r>
            <w:r w:rsidRPr="002D0EC3">
              <w:rPr>
                <w:b/>
                <w:sz w:val="20"/>
              </w:rPr>
              <w:t xml:space="preserve">I </w:t>
            </w:r>
            <w:r w:rsidRPr="002D0EC3">
              <w:rPr>
                <w:b/>
                <w:sz w:val="20"/>
                <w:lang w:val="hy-AM"/>
              </w:rPr>
              <w:t>կիս.</w:t>
            </w:r>
          </w:p>
        </w:tc>
      </w:tr>
      <w:tr w:rsidR="008E3735" w:rsidRPr="00497073" w14:paraId="683A54B5" w14:textId="77777777" w:rsidTr="002D0EC3">
        <w:trPr>
          <w:trHeight w:val="454"/>
          <w:jc w:val="center"/>
        </w:trPr>
        <w:tc>
          <w:tcPr>
            <w:tcW w:w="2552" w:type="dxa"/>
            <w:vMerge/>
            <w:noWrap/>
            <w:vAlign w:val="center"/>
          </w:tcPr>
          <w:p w14:paraId="263AC73A" w14:textId="77777777" w:rsidR="008E3735" w:rsidRPr="00497073" w:rsidRDefault="008E3735" w:rsidP="00FC2CE7">
            <w:pPr>
              <w:ind w:firstLine="0"/>
              <w:jc w:val="center"/>
            </w:pPr>
          </w:p>
        </w:tc>
        <w:tc>
          <w:tcPr>
            <w:tcW w:w="1133" w:type="dxa"/>
            <w:shd w:val="clear" w:color="auto" w:fill="DEEAF6" w:themeFill="accent1" w:themeFillTint="33"/>
            <w:vAlign w:val="center"/>
          </w:tcPr>
          <w:p w14:paraId="37F9BD69" w14:textId="1595D614" w:rsidR="008E3735" w:rsidRPr="002D0EC3" w:rsidRDefault="008E3735" w:rsidP="00FC2CE7">
            <w:pPr>
              <w:ind w:firstLine="0"/>
              <w:jc w:val="center"/>
              <w:rPr>
                <w:sz w:val="16"/>
                <w:lang w:val="hy-AM"/>
              </w:rPr>
            </w:pPr>
            <w:r w:rsidRPr="002D0EC3">
              <w:rPr>
                <w:sz w:val="16"/>
              </w:rPr>
              <w:t>Փաստ</w:t>
            </w:r>
            <w:r w:rsidR="0043190E">
              <w:rPr>
                <w:sz w:val="16"/>
              </w:rPr>
              <w:t>ացի,</w:t>
            </w:r>
            <w:r w:rsidRPr="002D0EC3">
              <w:rPr>
                <w:sz w:val="16"/>
                <w:lang w:val="hy-AM"/>
              </w:rPr>
              <w:t xml:space="preserve"> մլրդ դրամ</w:t>
            </w:r>
          </w:p>
        </w:tc>
        <w:tc>
          <w:tcPr>
            <w:tcW w:w="1133" w:type="dxa"/>
            <w:shd w:val="clear" w:color="auto" w:fill="FFC000"/>
            <w:vAlign w:val="center"/>
          </w:tcPr>
          <w:p w14:paraId="02E4279C" w14:textId="77777777" w:rsidR="008E3735" w:rsidRPr="002D0EC3" w:rsidRDefault="008E3735" w:rsidP="00FC2CE7">
            <w:pPr>
              <w:ind w:firstLine="0"/>
              <w:jc w:val="center"/>
              <w:rPr>
                <w:sz w:val="16"/>
              </w:rPr>
            </w:pPr>
            <w:r w:rsidRPr="002D0EC3">
              <w:rPr>
                <w:sz w:val="16"/>
              </w:rPr>
              <w:t>Թերակատարումը, %</w:t>
            </w:r>
          </w:p>
        </w:tc>
        <w:tc>
          <w:tcPr>
            <w:tcW w:w="1133" w:type="dxa"/>
            <w:shd w:val="clear" w:color="auto" w:fill="DEEAF6" w:themeFill="accent1" w:themeFillTint="33"/>
            <w:vAlign w:val="center"/>
          </w:tcPr>
          <w:p w14:paraId="05D04392" w14:textId="0BD53A13" w:rsidR="008E3735" w:rsidRPr="002D0EC3" w:rsidRDefault="008E3735" w:rsidP="00FC2CE7">
            <w:pPr>
              <w:ind w:firstLine="0"/>
              <w:jc w:val="center"/>
              <w:rPr>
                <w:sz w:val="16"/>
              </w:rPr>
            </w:pPr>
            <w:r w:rsidRPr="002D0EC3">
              <w:rPr>
                <w:sz w:val="16"/>
              </w:rPr>
              <w:t>Փաստ</w:t>
            </w:r>
            <w:r w:rsidR="0043190E">
              <w:rPr>
                <w:sz w:val="16"/>
              </w:rPr>
              <w:t>ացի</w:t>
            </w:r>
            <w:r w:rsidRPr="002D0EC3">
              <w:rPr>
                <w:sz w:val="16"/>
              </w:rPr>
              <w:t>,</w:t>
            </w:r>
            <w:r w:rsidRPr="002D0EC3">
              <w:rPr>
                <w:sz w:val="16"/>
                <w:lang w:val="hy-AM"/>
              </w:rPr>
              <w:t xml:space="preserve"> մլրդ դրամ</w:t>
            </w:r>
          </w:p>
        </w:tc>
        <w:tc>
          <w:tcPr>
            <w:tcW w:w="1133" w:type="dxa"/>
            <w:shd w:val="clear" w:color="auto" w:fill="FFC000"/>
            <w:vAlign w:val="center"/>
          </w:tcPr>
          <w:p w14:paraId="21BCFEDA" w14:textId="77777777" w:rsidR="008E3735" w:rsidRPr="002D0EC3" w:rsidRDefault="008E3735" w:rsidP="00FC2CE7">
            <w:pPr>
              <w:ind w:firstLine="0"/>
              <w:jc w:val="center"/>
              <w:rPr>
                <w:sz w:val="16"/>
              </w:rPr>
            </w:pPr>
            <w:r w:rsidRPr="002D0EC3">
              <w:rPr>
                <w:sz w:val="16"/>
              </w:rPr>
              <w:t>Թերակատարումը, %</w:t>
            </w:r>
          </w:p>
        </w:tc>
        <w:tc>
          <w:tcPr>
            <w:tcW w:w="1133" w:type="dxa"/>
            <w:shd w:val="clear" w:color="auto" w:fill="DEEAF6" w:themeFill="accent1" w:themeFillTint="33"/>
            <w:vAlign w:val="center"/>
          </w:tcPr>
          <w:p w14:paraId="6A89AE40" w14:textId="3BB1764E" w:rsidR="008E3735" w:rsidRPr="002D0EC3" w:rsidRDefault="008E3735" w:rsidP="00FC2CE7">
            <w:pPr>
              <w:ind w:firstLine="0"/>
              <w:jc w:val="center"/>
              <w:rPr>
                <w:sz w:val="16"/>
              </w:rPr>
            </w:pPr>
            <w:r w:rsidRPr="002D0EC3">
              <w:rPr>
                <w:sz w:val="16"/>
              </w:rPr>
              <w:t>Փաստ</w:t>
            </w:r>
            <w:r w:rsidR="0043190E">
              <w:rPr>
                <w:sz w:val="16"/>
              </w:rPr>
              <w:t>ացի</w:t>
            </w:r>
            <w:r w:rsidRPr="002D0EC3">
              <w:rPr>
                <w:sz w:val="16"/>
              </w:rPr>
              <w:t>,</w:t>
            </w:r>
            <w:r w:rsidRPr="002D0EC3">
              <w:rPr>
                <w:sz w:val="16"/>
                <w:lang w:val="hy-AM"/>
              </w:rPr>
              <w:t xml:space="preserve"> մլրդ դրամ</w:t>
            </w:r>
          </w:p>
        </w:tc>
        <w:tc>
          <w:tcPr>
            <w:tcW w:w="1134" w:type="dxa"/>
            <w:shd w:val="clear" w:color="auto" w:fill="FFC000"/>
            <w:vAlign w:val="center"/>
          </w:tcPr>
          <w:p w14:paraId="3EEEBFA1" w14:textId="77777777" w:rsidR="008E3735" w:rsidRPr="002D0EC3" w:rsidRDefault="008E3735" w:rsidP="00FC2CE7">
            <w:pPr>
              <w:ind w:firstLine="0"/>
              <w:jc w:val="center"/>
              <w:rPr>
                <w:sz w:val="16"/>
              </w:rPr>
            </w:pPr>
            <w:r w:rsidRPr="002D0EC3">
              <w:rPr>
                <w:sz w:val="16"/>
              </w:rPr>
              <w:t>Թերակատարումը, %</w:t>
            </w:r>
          </w:p>
        </w:tc>
      </w:tr>
      <w:tr w:rsidR="008E3735" w:rsidRPr="00497073" w14:paraId="6C9AD2BD" w14:textId="77777777" w:rsidTr="00FC2CE7">
        <w:trPr>
          <w:trHeight w:val="680"/>
          <w:jc w:val="center"/>
        </w:trPr>
        <w:tc>
          <w:tcPr>
            <w:tcW w:w="2552" w:type="dxa"/>
            <w:noWrap/>
            <w:vAlign w:val="center"/>
            <w:hideMark/>
          </w:tcPr>
          <w:p w14:paraId="20D0A010" w14:textId="77777777" w:rsidR="008E3735" w:rsidRPr="00497073" w:rsidRDefault="008E3735" w:rsidP="00FC2CE7">
            <w:pPr>
              <w:ind w:firstLine="0"/>
              <w:jc w:val="center"/>
              <w:rPr>
                <w:sz w:val="20"/>
              </w:rPr>
            </w:pPr>
            <w:r w:rsidRPr="00497073">
              <w:rPr>
                <w:sz w:val="20"/>
              </w:rPr>
              <w:t>Ներդրումների և արտահանման խթանման ծրագիր</w:t>
            </w:r>
          </w:p>
        </w:tc>
        <w:tc>
          <w:tcPr>
            <w:tcW w:w="1133" w:type="dxa"/>
            <w:shd w:val="clear" w:color="auto" w:fill="DEEAF6" w:themeFill="accent1" w:themeFillTint="33"/>
            <w:noWrap/>
            <w:vAlign w:val="center"/>
            <w:hideMark/>
          </w:tcPr>
          <w:p w14:paraId="7E994666" w14:textId="77777777" w:rsidR="008E3735" w:rsidRPr="002D0EC3" w:rsidRDefault="008E3735" w:rsidP="00FC2CE7">
            <w:pPr>
              <w:ind w:firstLine="0"/>
              <w:jc w:val="center"/>
              <w:rPr>
                <w:sz w:val="20"/>
              </w:rPr>
            </w:pPr>
            <w:r w:rsidRPr="002D0EC3">
              <w:rPr>
                <w:sz w:val="20"/>
              </w:rPr>
              <w:t>0.9</w:t>
            </w:r>
          </w:p>
        </w:tc>
        <w:tc>
          <w:tcPr>
            <w:tcW w:w="1133" w:type="dxa"/>
            <w:shd w:val="clear" w:color="auto" w:fill="FFC000"/>
            <w:noWrap/>
            <w:vAlign w:val="center"/>
            <w:hideMark/>
          </w:tcPr>
          <w:p w14:paraId="592EA6EC" w14:textId="77777777" w:rsidR="008E3735" w:rsidRPr="002D0EC3" w:rsidRDefault="008E3735" w:rsidP="00FC2CE7">
            <w:pPr>
              <w:ind w:firstLine="0"/>
              <w:jc w:val="center"/>
              <w:rPr>
                <w:sz w:val="20"/>
              </w:rPr>
            </w:pPr>
            <w:r w:rsidRPr="002D0EC3">
              <w:rPr>
                <w:sz w:val="20"/>
              </w:rPr>
              <w:t>81.1</w:t>
            </w:r>
          </w:p>
        </w:tc>
        <w:tc>
          <w:tcPr>
            <w:tcW w:w="1133" w:type="dxa"/>
            <w:shd w:val="clear" w:color="auto" w:fill="DEEAF6" w:themeFill="accent1" w:themeFillTint="33"/>
            <w:noWrap/>
            <w:vAlign w:val="center"/>
            <w:hideMark/>
          </w:tcPr>
          <w:p w14:paraId="6DC68CEA" w14:textId="77777777" w:rsidR="008E3735" w:rsidRPr="002D0EC3" w:rsidRDefault="008E3735" w:rsidP="00FC2CE7">
            <w:pPr>
              <w:ind w:firstLine="0"/>
              <w:jc w:val="center"/>
              <w:rPr>
                <w:sz w:val="20"/>
              </w:rPr>
            </w:pPr>
            <w:r w:rsidRPr="002D0EC3">
              <w:rPr>
                <w:sz w:val="20"/>
              </w:rPr>
              <w:t>0.6</w:t>
            </w:r>
          </w:p>
        </w:tc>
        <w:tc>
          <w:tcPr>
            <w:tcW w:w="1133" w:type="dxa"/>
            <w:shd w:val="clear" w:color="auto" w:fill="FFC000"/>
            <w:noWrap/>
            <w:vAlign w:val="center"/>
            <w:hideMark/>
          </w:tcPr>
          <w:p w14:paraId="7518DD66" w14:textId="77777777" w:rsidR="008E3735" w:rsidRPr="002D0EC3" w:rsidRDefault="008E3735" w:rsidP="00FC2CE7">
            <w:pPr>
              <w:ind w:firstLine="0"/>
              <w:jc w:val="center"/>
              <w:rPr>
                <w:sz w:val="20"/>
              </w:rPr>
            </w:pPr>
            <w:r w:rsidRPr="002D0EC3">
              <w:rPr>
                <w:sz w:val="20"/>
              </w:rPr>
              <w:t>0.0</w:t>
            </w:r>
          </w:p>
        </w:tc>
        <w:tc>
          <w:tcPr>
            <w:tcW w:w="1133" w:type="dxa"/>
            <w:shd w:val="clear" w:color="auto" w:fill="DEEAF6" w:themeFill="accent1" w:themeFillTint="33"/>
            <w:noWrap/>
            <w:vAlign w:val="center"/>
            <w:hideMark/>
          </w:tcPr>
          <w:p w14:paraId="55F27D93" w14:textId="77777777" w:rsidR="008E3735" w:rsidRPr="002D0EC3" w:rsidRDefault="008E3735" w:rsidP="00FC2CE7">
            <w:pPr>
              <w:ind w:firstLine="0"/>
              <w:jc w:val="center"/>
              <w:rPr>
                <w:sz w:val="20"/>
              </w:rPr>
            </w:pPr>
            <w:r w:rsidRPr="002D0EC3">
              <w:rPr>
                <w:sz w:val="20"/>
              </w:rPr>
              <w:t>0.2</w:t>
            </w:r>
          </w:p>
        </w:tc>
        <w:tc>
          <w:tcPr>
            <w:tcW w:w="1134" w:type="dxa"/>
            <w:shd w:val="clear" w:color="auto" w:fill="FFC000"/>
            <w:noWrap/>
            <w:vAlign w:val="center"/>
            <w:hideMark/>
          </w:tcPr>
          <w:p w14:paraId="52C8636B" w14:textId="77777777" w:rsidR="008E3735" w:rsidRPr="002D0EC3" w:rsidRDefault="008E3735" w:rsidP="00FC2CE7">
            <w:pPr>
              <w:ind w:firstLine="0"/>
              <w:jc w:val="center"/>
              <w:rPr>
                <w:sz w:val="20"/>
              </w:rPr>
            </w:pPr>
            <w:r w:rsidRPr="002D0EC3">
              <w:rPr>
                <w:sz w:val="20"/>
              </w:rPr>
              <w:t>48.5</w:t>
            </w:r>
          </w:p>
        </w:tc>
      </w:tr>
      <w:tr w:rsidR="008E3735" w:rsidRPr="00497073" w14:paraId="3EBA84D8" w14:textId="77777777" w:rsidTr="00FC2CE7">
        <w:trPr>
          <w:trHeight w:val="680"/>
          <w:jc w:val="center"/>
        </w:trPr>
        <w:tc>
          <w:tcPr>
            <w:tcW w:w="2552" w:type="dxa"/>
            <w:noWrap/>
            <w:vAlign w:val="center"/>
            <w:hideMark/>
          </w:tcPr>
          <w:p w14:paraId="0A9398D2" w14:textId="77777777" w:rsidR="008E3735" w:rsidRPr="00497073" w:rsidRDefault="008E3735" w:rsidP="00FC2CE7">
            <w:pPr>
              <w:ind w:firstLine="0"/>
              <w:jc w:val="center"/>
              <w:rPr>
                <w:sz w:val="20"/>
              </w:rPr>
            </w:pPr>
            <w:r w:rsidRPr="00497073">
              <w:rPr>
                <w:sz w:val="20"/>
              </w:rPr>
              <w:t>Ճանապարհային ցանցի բարելավում</w:t>
            </w:r>
          </w:p>
        </w:tc>
        <w:tc>
          <w:tcPr>
            <w:tcW w:w="1133" w:type="dxa"/>
            <w:shd w:val="clear" w:color="auto" w:fill="DEEAF6" w:themeFill="accent1" w:themeFillTint="33"/>
            <w:noWrap/>
            <w:vAlign w:val="center"/>
            <w:hideMark/>
          </w:tcPr>
          <w:p w14:paraId="5B5A6304" w14:textId="77777777" w:rsidR="008E3735" w:rsidRPr="002D0EC3" w:rsidRDefault="008E3735" w:rsidP="00FC2CE7">
            <w:pPr>
              <w:ind w:firstLine="0"/>
              <w:jc w:val="center"/>
              <w:rPr>
                <w:sz w:val="20"/>
              </w:rPr>
            </w:pPr>
            <w:r w:rsidRPr="002D0EC3">
              <w:rPr>
                <w:sz w:val="20"/>
              </w:rPr>
              <w:t>45.1</w:t>
            </w:r>
          </w:p>
        </w:tc>
        <w:tc>
          <w:tcPr>
            <w:tcW w:w="1133" w:type="dxa"/>
            <w:shd w:val="clear" w:color="auto" w:fill="FFC000"/>
            <w:noWrap/>
            <w:vAlign w:val="center"/>
            <w:hideMark/>
          </w:tcPr>
          <w:p w14:paraId="3595692B" w14:textId="77777777" w:rsidR="008E3735" w:rsidRPr="002D0EC3" w:rsidRDefault="008E3735" w:rsidP="00FC2CE7">
            <w:pPr>
              <w:ind w:firstLine="0"/>
              <w:jc w:val="center"/>
              <w:rPr>
                <w:sz w:val="20"/>
              </w:rPr>
            </w:pPr>
            <w:r w:rsidRPr="002D0EC3">
              <w:rPr>
                <w:sz w:val="20"/>
              </w:rPr>
              <w:t>21.7</w:t>
            </w:r>
          </w:p>
        </w:tc>
        <w:tc>
          <w:tcPr>
            <w:tcW w:w="1133" w:type="dxa"/>
            <w:shd w:val="clear" w:color="auto" w:fill="DEEAF6" w:themeFill="accent1" w:themeFillTint="33"/>
            <w:noWrap/>
            <w:vAlign w:val="center"/>
            <w:hideMark/>
          </w:tcPr>
          <w:p w14:paraId="3FF072DC" w14:textId="77777777" w:rsidR="008E3735" w:rsidRPr="002D0EC3" w:rsidRDefault="008E3735" w:rsidP="00FC2CE7">
            <w:pPr>
              <w:ind w:firstLine="0"/>
              <w:jc w:val="center"/>
              <w:rPr>
                <w:sz w:val="20"/>
              </w:rPr>
            </w:pPr>
            <w:r w:rsidRPr="002D0EC3">
              <w:rPr>
                <w:sz w:val="20"/>
              </w:rPr>
              <w:t>52.0</w:t>
            </w:r>
          </w:p>
        </w:tc>
        <w:tc>
          <w:tcPr>
            <w:tcW w:w="1133" w:type="dxa"/>
            <w:shd w:val="clear" w:color="auto" w:fill="FFC000"/>
            <w:noWrap/>
            <w:vAlign w:val="center"/>
            <w:hideMark/>
          </w:tcPr>
          <w:p w14:paraId="06732C68" w14:textId="77777777" w:rsidR="008E3735" w:rsidRPr="002D0EC3" w:rsidRDefault="008E3735" w:rsidP="00FC2CE7">
            <w:pPr>
              <w:ind w:firstLine="0"/>
              <w:jc w:val="center"/>
              <w:rPr>
                <w:sz w:val="20"/>
              </w:rPr>
            </w:pPr>
            <w:r w:rsidRPr="002D0EC3">
              <w:rPr>
                <w:sz w:val="20"/>
              </w:rPr>
              <w:t>12.0</w:t>
            </w:r>
          </w:p>
        </w:tc>
        <w:tc>
          <w:tcPr>
            <w:tcW w:w="1133" w:type="dxa"/>
            <w:shd w:val="clear" w:color="auto" w:fill="DEEAF6" w:themeFill="accent1" w:themeFillTint="33"/>
            <w:noWrap/>
            <w:vAlign w:val="center"/>
            <w:hideMark/>
          </w:tcPr>
          <w:p w14:paraId="0B7B3407" w14:textId="77777777" w:rsidR="008E3735" w:rsidRPr="002D0EC3" w:rsidRDefault="008E3735" w:rsidP="00FC2CE7">
            <w:pPr>
              <w:ind w:firstLine="0"/>
              <w:jc w:val="center"/>
              <w:rPr>
                <w:sz w:val="20"/>
              </w:rPr>
            </w:pPr>
            <w:r w:rsidRPr="002D0EC3">
              <w:rPr>
                <w:sz w:val="20"/>
              </w:rPr>
              <w:t>9.0</w:t>
            </w:r>
          </w:p>
        </w:tc>
        <w:tc>
          <w:tcPr>
            <w:tcW w:w="1134" w:type="dxa"/>
            <w:shd w:val="clear" w:color="auto" w:fill="FFC000"/>
            <w:noWrap/>
            <w:vAlign w:val="center"/>
            <w:hideMark/>
          </w:tcPr>
          <w:p w14:paraId="1087A466" w14:textId="77777777" w:rsidR="008E3735" w:rsidRPr="002D0EC3" w:rsidRDefault="008E3735" w:rsidP="00FC2CE7">
            <w:pPr>
              <w:ind w:firstLine="0"/>
              <w:jc w:val="center"/>
              <w:rPr>
                <w:sz w:val="20"/>
              </w:rPr>
            </w:pPr>
            <w:r w:rsidRPr="002D0EC3">
              <w:rPr>
                <w:sz w:val="20"/>
              </w:rPr>
              <w:t>57.0</w:t>
            </w:r>
          </w:p>
        </w:tc>
      </w:tr>
      <w:tr w:rsidR="008E3735" w:rsidRPr="00497073" w14:paraId="068B3548" w14:textId="77777777" w:rsidTr="00FC2CE7">
        <w:trPr>
          <w:trHeight w:val="680"/>
          <w:jc w:val="center"/>
        </w:trPr>
        <w:tc>
          <w:tcPr>
            <w:tcW w:w="2552" w:type="dxa"/>
            <w:noWrap/>
            <w:vAlign w:val="center"/>
          </w:tcPr>
          <w:p w14:paraId="14871742" w14:textId="77777777" w:rsidR="008E3735" w:rsidRPr="00497073" w:rsidRDefault="008E3735" w:rsidP="00FC2CE7">
            <w:pPr>
              <w:ind w:firstLine="0"/>
              <w:jc w:val="center"/>
              <w:rPr>
                <w:sz w:val="20"/>
              </w:rPr>
            </w:pPr>
            <w:r w:rsidRPr="00497073">
              <w:rPr>
                <w:sz w:val="20"/>
              </w:rPr>
              <w:t>Քաղաքային զարգացում</w:t>
            </w:r>
          </w:p>
        </w:tc>
        <w:tc>
          <w:tcPr>
            <w:tcW w:w="1133" w:type="dxa"/>
            <w:shd w:val="clear" w:color="auto" w:fill="DEEAF6" w:themeFill="accent1" w:themeFillTint="33"/>
            <w:noWrap/>
            <w:vAlign w:val="center"/>
          </w:tcPr>
          <w:p w14:paraId="1D93E8B7" w14:textId="77777777" w:rsidR="008E3735" w:rsidRPr="002D0EC3" w:rsidRDefault="008E3735" w:rsidP="00FC2CE7">
            <w:pPr>
              <w:ind w:firstLine="0"/>
              <w:jc w:val="center"/>
              <w:rPr>
                <w:sz w:val="20"/>
              </w:rPr>
            </w:pPr>
            <w:r w:rsidRPr="002D0EC3">
              <w:rPr>
                <w:sz w:val="20"/>
              </w:rPr>
              <w:t>19.4</w:t>
            </w:r>
          </w:p>
        </w:tc>
        <w:tc>
          <w:tcPr>
            <w:tcW w:w="1133" w:type="dxa"/>
            <w:shd w:val="clear" w:color="auto" w:fill="FFC000"/>
            <w:noWrap/>
            <w:vAlign w:val="center"/>
          </w:tcPr>
          <w:p w14:paraId="4E536EA0" w14:textId="77777777" w:rsidR="008E3735" w:rsidRPr="002D0EC3" w:rsidRDefault="008E3735" w:rsidP="00FC2CE7">
            <w:pPr>
              <w:ind w:firstLine="0"/>
              <w:jc w:val="center"/>
              <w:rPr>
                <w:sz w:val="20"/>
              </w:rPr>
            </w:pPr>
            <w:r w:rsidRPr="002D0EC3">
              <w:rPr>
                <w:sz w:val="20"/>
              </w:rPr>
              <w:t>32.7</w:t>
            </w:r>
          </w:p>
        </w:tc>
        <w:tc>
          <w:tcPr>
            <w:tcW w:w="1133" w:type="dxa"/>
            <w:shd w:val="clear" w:color="auto" w:fill="DEEAF6" w:themeFill="accent1" w:themeFillTint="33"/>
            <w:noWrap/>
            <w:vAlign w:val="center"/>
          </w:tcPr>
          <w:p w14:paraId="71C7C82A" w14:textId="77777777" w:rsidR="008E3735" w:rsidRPr="002D0EC3" w:rsidRDefault="008E3735" w:rsidP="00FC2CE7">
            <w:pPr>
              <w:ind w:firstLine="0"/>
              <w:jc w:val="center"/>
              <w:rPr>
                <w:sz w:val="20"/>
              </w:rPr>
            </w:pPr>
            <w:r w:rsidRPr="002D0EC3">
              <w:rPr>
                <w:sz w:val="20"/>
              </w:rPr>
              <w:t>16.7</w:t>
            </w:r>
          </w:p>
        </w:tc>
        <w:tc>
          <w:tcPr>
            <w:tcW w:w="1133" w:type="dxa"/>
            <w:shd w:val="clear" w:color="auto" w:fill="FFC000"/>
            <w:noWrap/>
            <w:vAlign w:val="center"/>
          </w:tcPr>
          <w:p w14:paraId="1856DD82" w14:textId="77777777" w:rsidR="008E3735" w:rsidRPr="002D0EC3" w:rsidRDefault="008E3735" w:rsidP="00FC2CE7">
            <w:pPr>
              <w:ind w:firstLine="0"/>
              <w:jc w:val="center"/>
              <w:rPr>
                <w:sz w:val="20"/>
              </w:rPr>
            </w:pPr>
            <w:r w:rsidRPr="002D0EC3">
              <w:rPr>
                <w:sz w:val="20"/>
              </w:rPr>
              <w:t>26.3</w:t>
            </w:r>
          </w:p>
        </w:tc>
        <w:tc>
          <w:tcPr>
            <w:tcW w:w="1133" w:type="dxa"/>
            <w:shd w:val="clear" w:color="auto" w:fill="DEEAF6" w:themeFill="accent1" w:themeFillTint="33"/>
            <w:noWrap/>
            <w:vAlign w:val="center"/>
          </w:tcPr>
          <w:p w14:paraId="577C8D95" w14:textId="77777777" w:rsidR="008E3735" w:rsidRPr="002D0EC3" w:rsidRDefault="008E3735" w:rsidP="00FC2CE7">
            <w:pPr>
              <w:ind w:firstLine="0"/>
              <w:jc w:val="center"/>
              <w:rPr>
                <w:sz w:val="20"/>
              </w:rPr>
            </w:pPr>
            <w:r w:rsidRPr="002D0EC3">
              <w:rPr>
                <w:sz w:val="20"/>
              </w:rPr>
              <w:t>7.0</w:t>
            </w:r>
          </w:p>
        </w:tc>
        <w:tc>
          <w:tcPr>
            <w:tcW w:w="1134" w:type="dxa"/>
            <w:shd w:val="clear" w:color="auto" w:fill="FFC000"/>
            <w:noWrap/>
            <w:vAlign w:val="center"/>
          </w:tcPr>
          <w:p w14:paraId="6050604C" w14:textId="77777777" w:rsidR="008E3735" w:rsidRPr="002D0EC3" w:rsidRDefault="008E3735" w:rsidP="00FC2CE7">
            <w:pPr>
              <w:ind w:firstLine="0"/>
              <w:jc w:val="center"/>
              <w:rPr>
                <w:sz w:val="20"/>
              </w:rPr>
            </w:pPr>
            <w:r w:rsidRPr="002D0EC3">
              <w:rPr>
                <w:sz w:val="20"/>
              </w:rPr>
              <w:t>31.7</w:t>
            </w:r>
          </w:p>
        </w:tc>
      </w:tr>
      <w:tr w:rsidR="008E3735" w:rsidRPr="00497073" w14:paraId="59C1C575" w14:textId="77777777" w:rsidTr="00FC2CE7">
        <w:trPr>
          <w:trHeight w:val="680"/>
          <w:jc w:val="center"/>
        </w:trPr>
        <w:tc>
          <w:tcPr>
            <w:tcW w:w="2552" w:type="dxa"/>
            <w:noWrap/>
            <w:vAlign w:val="center"/>
          </w:tcPr>
          <w:p w14:paraId="2587AD53" w14:textId="77777777" w:rsidR="008E3735" w:rsidRPr="00497073" w:rsidRDefault="008E3735" w:rsidP="00FC2CE7">
            <w:pPr>
              <w:ind w:firstLine="0"/>
              <w:jc w:val="center"/>
              <w:rPr>
                <w:sz w:val="20"/>
              </w:rPr>
            </w:pPr>
            <w:r w:rsidRPr="00497073">
              <w:rPr>
                <w:sz w:val="20"/>
              </w:rPr>
              <w:t>Գյուղական ենթակառուցվածքների վերականգնում և զարգացում</w:t>
            </w:r>
          </w:p>
        </w:tc>
        <w:tc>
          <w:tcPr>
            <w:tcW w:w="1133" w:type="dxa"/>
            <w:shd w:val="clear" w:color="auto" w:fill="DEEAF6" w:themeFill="accent1" w:themeFillTint="33"/>
            <w:noWrap/>
            <w:vAlign w:val="center"/>
          </w:tcPr>
          <w:p w14:paraId="61111C65" w14:textId="77777777" w:rsidR="008E3735" w:rsidRPr="002D0EC3" w:rsidRDefault="008E3735" w:rsidP="00FC2CE7">
            <w:pPr>
              <w:ind w:firstLine="0"/>
              <w:jc w:val="center"/>
              <w:rPr>
                <w:sz w:val="20"/>
              </w:rPr>
            </w:pPr>
            <w:r w:rsidRPr="002D0EC3">
              <w:rPr>
                <w:sz w:val="20"/>
              </w:rPr>
              <w:t>0.8</w:t>
            </w:r>
          </w:p>
        </w:tc>
        <w:tc>
          <w:tcPr>
            <w:tcW w:w="1133" w:type="dxa"/>
            <w:shd w:val="clear" w:color="auto" w:fill="FFC000"/>
            <w:noWrap/>
            <w:vAlign w:val="center"/>
          </w:tcPr>
          <w:p w14:paraId="687B4753" w14:textId="77777777" w:rsidR="008E3735" w:rsidRPr="002D0EC3" w:rsidRDefault="008E3735" w:rsidP="00FC2CE7">
            <w:pPr>
              <w:ind w:firstLine="0"/>
              <w:jc w:val="center"/>
              <w:rPr>
                <w:sz w:val="20"/>
              </w:rPr>
            </w:pPr>
            <w:r w:rsidRPr="002D0EC3">
              <w:rPr>
                <w:sz w:val="20"/>
              </w:rPr>
              <w:t>69.0</w:t>
            </w:r>
          </w:p>
        </w:tc>
        <w:tc>
          <w:tcPr>
            <w:tcW w:w="1133" w:type="dxa"/>
            <w:shd w:val="clear" w:color="auto" w:fill="DEEAF6" w:themeFill="accent1" w:themeFillTint="33"/>
            <w:noWrap/>
            <w:vAlign w:val="center"/>
          </w:tcPr>
          <w:p w14:paraId="5C6C25EC" w14:textId="77777777" w:rsidR="008E3735" w:rsidRPr="002D0EC3" w:rsidRDefault="008E3735" w:rsidP="00FC2CE7">
            <w:pPr>
              <w:ind w:firstLine="0"/>
              <w:jc w:val="center"/>
              <w:rPr>
                <w:sz w:val="20"/>
              </w:rPr>
            </w:pPr>
            <w:r w:rsidRPr="002D0EC3">
              <w:rPr>
                <w:sz w:val="20"/>
              </w:rPr>
              <w:t>1.4</w:t>
            </w:r>
          </w:p>
        </w:tc>
        <w:tc>
          <w:tcPr>
            <w:tcW w:w="1133" w:type="dxa"/>
            <w:shd w:val="clear" w:color="auto" w:fill="FFC000"/>
            <w:noWrap/>
            <w:vAlign w:val="center"/>
          </w:tcPr>
          <w:p w14:paraId="3BF7C8B8" w14:textId="77777777" w:rsidR="008E3735" w:rsidRPr="002D0EC3" w:rsidRDefault="008E3735" w:rsidP="00FC2CE7">
            <w:pPr>
              <w:ind w:firstLine="0"/>
              <w:jc w:val="center"/>
              <w:rPr>
                <w:sz w:val="20"/>
              </w:rPr>
            </w:pPr>
            <w:r w:rsidRPr="002D0EC3">
              <w:rPr>
                <w:sz w:val="20"/>
              </w:rPr>
              <w:t>59.7</w:t>
            </w:r>
          </w:p>
        </w:tc>
        <w:tc>
          <w:tcPr>
            <w:tcW w:w="1133" w:type="dxa"/>
            <w:shd w:val="clear" w:color="auto" w:fill="DEEAF6" w:themeFill="accent1" w:themeFillTint="33"/>
            <w:noWrap/>
            <w:vAlign w:val="center"/>
          </w:tcPr>
          <w:p w14:paraId="2BDC0998" w14:textId="77777777" w:rsidR="008E3735" w:rsidRPr="002D0EC3" w:rsidRDefault="008E3735" w:rsidP="00FC2CE7">
            <w:pPr>
              <w:ind w:firstLine="0"/>
              <w:jc w:val="center"/>
              <w:rPr>
                <w:sz w:val="20"/>
              </w:rPr>
            </w:pPr>
            <w:r w:rsidRPr="002D0EC3">
              <w:rPr>
                <w:sz w:val="20"/>
              </w:rPr>
              <w:t>0.9</w:t>
            </w:r>
          </w:p>
        </w:tc>
        <w:tc>
          <w:tcPr>
            <w:tcW w:w="1134" w:type="dxa"/>
            <w:shd w:val="clear" w:color="auto" w:fill="FFC000"/>
            <w:noWrap/>
            <w:vAlign w:val="center"/>
          </w:tcPr>
          <w:p w14:paraId="3368E263" w14:textId="77777777" w:rsidR="008E3735" w:rsidRPr="002D0EC3" w:rsidRDefault="008E3735" w:rsidP="00FC2CE7">
            <w:pPr>
              <w:ind w:firstLine="0"/>
              <w:jc w:val="center"/>
              <w:rPr>
                <w:sz w:val="20"/>
              </w:rPr>
            </w:pPr>
            <w:r w:rsidRPr="002D0EC3">
              <w:rPr>
                <w:sz w:val="20"/>
              </w:rPr>
              <w:t>51.9</w:t>
            </w:r>
          </w:p>
        </w:tc>
      </w:tr>
      <w:tr w:rsidR="008E3735" w:rsidRPr="00497073" w14:paraId="47C988FB" w14:textId="77777777" w:rsidTr="00FC2CE7">
        <w:trPr>
          <w:trHeight w:val="680"/>
          <w:jc w:val="center"/>
        </w:trPr>
        <w:tc>
          <w:tcPr>
            <w:tcW w:w="2552" w:type="dxa"/>
            <w:noWrap/>
            <w:vAlign w:val="center"/>
          </w:tcPr>
          <w:p w14:paraId="79C0FD01" w14:textId="77777777" w:rsidR="008E3735" w:rsidRPr="00497073" w:rsidRDefault="008E3735" w:rsidP="00FC2CE7">
            <w:pPr>
              <w:ind w:firstLine="0"/>
              <w:jc w:val="center"/>
              <w:rPr>
                <w:sz w:val="20"/>
              </w:rPr>
            </w:pPr>
            <w:r w:rsidRPr="00497073">
              <w:rPr>
                <w:sz w:val="20"/>
              </w:rPr>
              <w:t>Ենթակառուցվածքների և գյուղական ֆինանսավորման աջակցություն</w:t>
            </w:r>
          </w:p>
        </w:tc>
        <w:tc>
          <w:tcPr>
            <w:tcW w:w="1133" w:type="dxa"/>
            <w:shd w:val="clear" w:color="auto" w:fill="DEEAF6" w:themeFill="accent1" w:themeFillTint="33"/>
            <w:noWrap/>
            <w:vAlign w:val="center"/>
          </w:tcPr>
          <w:p w14:paraId="7BB717F4" w14:textId="77777777" w:rsidR="008E3735" w:rsidRPr="002D0EC3" w:rsidRDefault="008E3735" w:rsidP="00FC2CE7">
            <w:pPr>
              <w:ind w:firstLine="0"/>
              <w:jc w:val="center"/>
              <w:rPr>
                <w:sz w:val="20"/>
              </w:rPr>
            </w:pPr>
            <w:r w:rsidRPr="002D0EC3">
              <w:rPr>
                <w:sz w:val="20"/>
              </w:rPr>
              <w:t>0.4</w:t>
            </w:r>
          </w:p>
        </w:tc>
        <w:tc>
          <w:tcPr>
            <w:tcW w:w="1133" w:type="dxa"/>
            <w:shd w:val="clear" w:color="auto" w:fill="FFC000"/>
            <w:noWrap/>
            <w:vAlign w:val="center"/>
          </w:tcPr>
          <w:p w14:paraId="3A1EF0F0" w14:textId="77777777" w:rsidR="008E3735" w:rsidRPr="002D0EC3" w:rsidRDefault="008E3735" w:rsidP="00FC2CE7">
            <w:pPr>
              <w:ind w:firstLine="0"/>
              <w:jc w:val="center"/>
              <w:rPr>
                <w:sz w:val="20"/>
              </w:rPr>
            </w:pPr>
            <w:r w:rsidRPr="002D0EC3">
              <w:rPr>
                <w:sz w:val="20"/>
              </w:rPr>
              <w:t>79.2</w:t>
            </w:r>
          </w:p>
        </w:tc>
        <w:tc>
          <w:tcPr>
            <w:tcW w:w="1133" w:type="dxa"/>
            <w:shd w:val="clear" w:color="auto" w:fill="DEEAF6" w:themeFill="accent1" w:themeFillTint="33"/>
            <w:noWrap/>
            <w:vAlign w:val="center"/>
          </w:tcPr>
          <w:p w14:paraId="500E066C" w14:textId="77777777" w:rsidR="008E3735" w:rsidRPr="002D0EC3" w:rsidRDefault="008E3735" w:rsidP="00FC2CE7">
            <w:pPr>
              <w:ind w:firstLine="0"/>
              <w:jc w:val="center"/>
              <w:rPr>
                <w:sz w:val="20"/>
              </w:rPr>
            </w:pPr>
            <w:r w:rsidRPr="002D0EC3">
              <w:rPr>
                <w:sz w:val="20"/>
              </w:rPr>
              <w:t>0.7</w:t>
            </w:r>
          </w:p>
        </w:tc>
        <w:tc>
          <w:tcPr>
            <w:tcW w:w="1133" w:type="dxa"/>
            <w:shd w:val="clear" w:color="auto" w:fill="FFC000"/>
            <w:noWrap/>
            <w:vAlign w:val="center"/>
          </w:tcPr>
          <w:p w14:paraId="451931E7" w14:textId="77777777" w:rsidR="008E3735" w:rsidRPr="002D0EC3" w:rsidRDefault="008E3735" w:rsidP="00FC2CE7">
            <w:pPr>
              <w:ind w:firstLine="0"/>
              <w:jc w:val="center"/>
              <w:rPr>
                <w:sz w:val="20"/>
              </w:rPr>
            </w:pPr>
            <w:r w:rsidRPr="002D0EC3">
              <w:rPr>
                <w:sz w:val="20"/>
              </w:rPr>
              <w:t>32.1</w:t>
            </w:r>
          </w:p>
        </w:tc>
        <w:tc>
          <w:tcPr>
            <w:tcW w:w="1133" w:type="dxa"/>
            <w:shd w:val="clear" w:color="auto" w:fill="DEEAF6" w:themeFill="accent1" w:themeFillTint="33"/>
            <w:noWrap/>
            <w:vAlign w:val="center"/>
          </w:tcPr>
          <w:p w14:paraId="729C4E7F" w14:textId="77777777" w:rsidR="008E3735" w:rsidRPr="002D0EC3" w:rsidRDefault="008E3735" w:rsidP="00FC2CE7">
            <w:pPr>
              <w:ind w:firstLine="0"/>
              <w:jc w:val="center"/>
              <w:rPr>
                <w:sz w:val="20"/>
              </w:rPr>
            </w:pPr>
            <w:r w:rsidRPr="002D0EC3">
              <w:rPr>
                <w:sz w:val="20"/>
              </w:rPr>
              <w:t>0.5</w:t>
            </w:r>
          </w:p>
        </w:tc>
        <w:tc>
          <w:tcPr>
            <w:tcW w:w="1134" w:type="dxa"/>
            <w:shd w:val="clear" w:color="auto" w:fill="FFC000"/>
            <w:noWrap/>
            <w:vAlign w:val="center"/>
          </w:tcPr>
          <w:p w14:paraId="717C4755" w14:textId="77777777" w:rsidR="008E3735" w:rsidRPr="002D0EC3" w:rsidRDefault="008E3735" w:rsidP="00FC2CE7">
            <w:pPr>
              <w:ind w:firstLine="0"/>
              <w:jc w:val="center"/>
              <w:rPr>
                <w:sz w:val="20"/>
              </w:rPr>
            </w:pPr>
            <w:r w:rsidRPr="002D0EC3">
              <w:rPr>
                <w:sz w:val="20"/>
              </w:rPr>
              <w:t>58.8</w:t>
            </w:r>
          </w:p>
        </w:tc>
      </w:tr>
      <w:tr w:rsidR="008E3735" w:rsidRPr="00497073" w14:paraId="68528420" w14:textId="77777777" w:rsidTr="00FC2CE7">
        <w:trPr>
          <w:trHeight w:val="680"/>
          <w:jc w:val="center"/>
        </w:trPr>
        <w:tc>
          <w:tcPr>
            <w:tcW w:w="2552" w:type="dxa"/>
            <w:noWrap/>
            <w:vAlign w:val="center"/>
            <w:hideMark/>
          </w:tcPr>
          <w:p w14:paraId="1998DDD4" w14:textId="77777777" w:rsidR="008E3735" w:rsidRPr="00497073" w:rsidRDefault="008E3735" w:rsidP="00FC2CE7">
            <w:pPr>
              <w:ind w:firstLine="0"/>
              <w:jc w:val="center"/>
              <w:rPr>
                <w:sz w:val="20"/>
              </w:rPr>
            </w:pPr>
            <w:r w:rsidRPr="00497073">
              <w:rPr>
                <w:sz w:val="20"/>
              </w:rPr>
              <w:t>Ջրամատակարարաման և ջրահեռացման բարելավում</w:t>
            </w:r>
          </w:p>
        </w:tc>
        <w:tc>
          <w:tcPr>
            <w:tcW w:w="1133" w:type="dxa"/>
            <w:shd w:val="clear" w:color="auto" w:fill="DEEAF6" w:themeFill="accent1" w:themeFillTint="33"/>
            <w:noWrap/>
            <w:vAlign w:val="center"/>
            <w:hideMark/>
          </w:tcPr>
          <w:p w14:paraId="1882BCEC" w14:textId="77777777" w:rsidR="008E3735" w:rsidRPr="002D0EC3" w:rsidRDefault="008E3735" w:rsidP="00FC2CE7">
            <w:pPr>
              <w:ind w:firstLine="0"/>
              <w:jc w:val="center"/>
              <w:rPr>
                <w:sz w:val="20"/>
              </w:rPr>
            </w:pPr>
            <w:r w:rsidRPr="002D0EC3">
              <w:rPr>
                <w:sz w:val="20"/>
              </w:rPr>
              <w:t>3.6</w:t>
            </w:r>
          </w:p>
        </w:tc>
        <w:tc>
          <w:tcPr>
            <w:tcW w:w="1133" w:type="dxa"/>
            <w:shd w:val="clear" w:color="auto" w:fill="FFC000"/>
            <w:noWrap/>
            <w:vAlign w:val="center"/>
            <w:hideMark/>
          </w:tcPr>
          <w:p w14:paraId="6A967855" w14:textId="77777777" w:rsidR="008E3735" w:rsidRPr="002D0EC3" w:rsidRDefault="008E3735" w:rsidP="00FC2CE7">
            <w:pPr>
              <w:ind w:firstLine="0"/>
              <w:jc w:val="center"/>
              <w:rPr>
                <w:sz w:val="20"/>
              </w:rPr>
            </w:pPr>
            <w:r w:rsidRPr="002D0EC3">
              <w:rPr>
                <w:sz w:val="20"/>
              </w:rPr>
              <w:t>0.0</w:t>
            </w:r>
          </w:p>
        </w:tc>
        <w:tc>
          <w:tcPr>
            <w:tcW w:w="1133" w:type="dxa"/>
            <w:shd w:val="clear" w:color="auto" w:fill="DEEAF6" w:themeFill="accent1" w:themeFillTint="33"/>
            <w:noWrap/>
            <w:vAlign w:val="center"/>
            <w:hideMark/>
          </w:tcPr>
          <w:p w14:paraId="2993437A" w14:textId="77777777" w:rsidR="008E3735" w:rsidRPr="002D0EC3" w:rsidRDefault="008E3735" w:rsidP="00FC2CE7">
            <w:pPr>
              <w:ind w:firstLine="0"/>
              <w:jc w:val="center"/>
              <w:rPr>
                <w:sz w:val="20"/>
              </w:rPr>
            </w:pPr>
            <w:r w:rsidRPr="002D0EC3">
              <w:rPr>
                <w:sz w:val="20"/>
              </w:rPr>
              <w:t>1.8</w:t>
            </w:r>
          </w:p>
        </w:tc>
        <w:tc>
          <w:tcPr>
            <w:tcW w:w="1133" w:type="dxa"/>
            <w:shd w:val="clear" w:color="auto" w:fill="FFC000"/>
            <w:noWrap/>
            <w:vAlign w:val="center"/>
            <w:hideMark/>
          </w:tcPr>
          <w:p w14:paraId="119056B2" w14:textId="77777777" w:rsidR="008E3735" w:rsidRPr="002D0EC3" w:rsidRDefault="008E3735" w:rsidP="00FC2CE7">
            <w:pPr>
              <w:ind w:firstLine="0"/>
              <w:jc w:val="center"/>
              <w:rPr>
                <w:sz w:val="20"/>
              </w:rPr>
            </w:pPr>
            <w:r w:rsidRPr="002D0EC3">
              <w:rPr>
                <w:sz w:val="20"/>
              </w:rPr>
              <w:t>80.0</w:t>
            </w:r>
          </w:p>
        </w:tc>
        <w:tc>
          <w:tcPr>
            <w:tcW w:w="1133" w:type="dxa"/>
            <w:shd w:val="clear" w:color="auto" w:fill="DEEAF6" w:themeFill="accent1" w:themeFillTint="33"/>
            <w:noWrap/>
            <w:vAlign w:val="center"/>
            <w:hideMark/>
          </w:tcPr>
          <w:p w14:paraId="695AA70E" w14:textId="77777777" w:rsidR="008E3735" w:rsidRPr="002D0EC3" w:rsidRDefault="008E3735" w:rsidP="00FC2CE7">
            <w:pPr>
              <w:ind w:firstLine="0"/>
              <w:jc w:val="center"/>
              <w:rPr>
                <w:sz w:val="20"/>
              </w:rPr>
            </w:pPr>
            <w:r w:rsidRPr="002D0EC3">
              <w:rPr>
                <w:sz w:val="20"/>
              </w:rPr>
              <w:t>3.1</w:t>
            </w:r>
          </w:p>
        </w:tc>
        <w:tc>
          <w:tcPr>
            <w:tcW w:w="1134" w:type="dxa"/>
            <w:shd w:val="clear" w:color="auto" w:fill="FFC000"/>
            <w:noWrap/>
            <w:vAlign w:val="center"/>
            <w:hideMark/>
          </w:tcPr>
          <w:p w14:paraId="55C7AD5C" w14:textId="77777777" w:rsidR="008E3735" w:rsidRPr="002D0EC3" w:rsidRDefault="008E3735" w:rsidP="00FC2CE7">
            <w:pPr>
              <w:ind w:firstLine="0"/>
              <w:jc w:val="center"/>
              <w:rPr>
                <w:sz w:val="20"/>
              </w:rPr>
            </w:pPr>
            <w:r w:rsidRPr="002D0EC3">
              <w:rPr>
                <w:sz w:val="20"/>
              </w:rPr>
              <w:t>52.5</w:t>
            </w:r>
          </w:p>
        </w:tc>
      </w:tr>
      <w:tr w:rsidR="008E3735" w:rsidRPr="00497073" w14:paraId="7128B355" w14:textId="77777777" w:rsidTr="00FC2CE7">
        <w:trPr>
          <w:trHeight w:val="680"/>
          <w:jc w:val="center"/>
        </w:trPr>
        <w:tc>
          <w:tcPr>
            <w:tcW w:w="2552" w:type="dxa"/>
            <w:noWrap/>
            <w:vAlign w:val="center"/>
            <w:hideMark/>
          </w:tcPr>
          <w:p w14:paraId="40A3BA6F" w14:textId="77777777" w:rsidR="008E3735" w:rsidRPr="00497073" w:rsidRDefault="008E3735" w:rsidP="00FC2CE7">
            <w:pPr>
              <w:ind w:firstLine="0"/>
              <w:jc w:val="center"/>
              <w:rPr>
                <w:sz w:val="20"/>
              </w:rPr>
            </w:pPr>
            <w:r w:rsidRPr="00497073">
              <w:rPr>
                <w:sz w:val="20"/>
              </w:rPr>
              <w:t>Ոռոգման համակարգի առողջացում</w:t>
            </w:r>
          </w:p>
        </w:tc>
        <w:tc>
          <w:tcPr>
            <w:tcW w:w="1133" w:type="dxa"/>
            <w:shd w:val="clear" w:color="auto" w:fill="DEEAF6" w:themeFill="accent1" w:themeFillTint="33"/>
            <w:noWrap/>
            <w:vAlign w:val="center"/>
            <w:hideMark/>
          </w:tcPr>
          <w:p w14:paraId="643402FF" w14:textId="77777777" w:rsidR="008E3735" w:rsidRPr="002D0EC3" w:rsidRDefault="008E3735" w:rsidP="00FC2CE7">
            <w:pPr>
              <w:ind w:firstLine="0"/>
              <w:jc w:val="center"/>
              <w:rPr>
                <w:sz w:val="20"/>
              </w:rPr>
            </w:pPr>
            <w:r w:rsidRPr="002D0EC3">
              <w:rPr>
                <w:sz w:val="20"/>
              </w:rPr>
              <w:t>21.9</w:t>
            </w:r>
          </w:p>
        </w:tc>
        <w:tc>
          <w:tcPr>
            <w:tcW w:w="1133" w:type="dxa"/>
            <w:shd w:val="clear" w:color="auto" w:fill="FFC000"/>
            <w:noWrap/>
            <w:vAlign w:val="center"/>
            <w:hideMark/>
          </w:tcPr>
          <w:p w14:paraId="3A63E633" w14:textId="77777777" w:rsidR="008E3735" w:rsidRPr="002D0EC3" w:rsidRDefault="008E3735" w:rsidP="00FC2CE7">
            <w:pPr>
              <w:ind w:firstLine="0"/>
              <w:jc w:val="center"/>
              <w:rPr>
                <w:sz w:val="20"/>
              </w:rPr>
            </w:pPr>
            <w:r w:rsidRPr="002D0EC3">
              <w:rPr>
                <w:sz w:val="20"/>
              </w:rPr>
              <w:t>15.9</w:t>
            </w:r>
          </w:p>
        </w:tc>
        <w:tc>
          <w:tcPr>
            <w:tcW w:w="1133" w:type="dxa"/>
            <w:shd w:val="clear" w:color="auto" w:fill="DEEAF6" w:themeFill="accent1" w:themeFillTint="33"/>
            <w:noWrap/>
            <w:vAlign w:val="center"/>
            <w:hideMark/>
          </w:tcPr>
          <w:p w14:paraId="25830C25" w14:textId="77777777" w:rsidR="008E3735" w:rsidRPr="002D0EC3" w:rsidRDefault="008E3735" w:rsidP="00FC2CE7">
            <w:pPr>
              <w:ind w:firstLine="0"/>
              <w:jc w:val="center"/>
              <w:rPr>
                <w:sz w:val="20"/>
              </w:rPr>
            </w:pPr>
            <w:r w:rsidRPr="002D0EC3">
              <w:rPr>
                <w:sz w:val="20"/>
              </w:rPr>
              <w:t>18.4</w:t>
            </w:r>
          </w:p>
        </w:tc>
        <w:tc>
          <w:tcPr>
            <w:tcW w:w="1133" w:type="dxa"/>
            <w:shd w:val="clear" w:color="auto" w:fill="FFC000"/>
            <w:noWrap/>
            <w:vAlign w:val="center"/>
            <w:hideMark/>
          </w:tcPr>
          <w:p w14:paraId="2F75A436" w14:textId="77777777" w:rsidR="008E3735" w:rsidRPr="002D0EC3" w:rsidRDefault="008E3735" w:rsidP="00FC2CE7">
            <w:pPr>
              <w:ind w:firstLine="0"/>
              <w:jc w:val="center"/>
              <w:rPr>
                <w:sz w:val="20"/>
              </w:rPr>
            </w:pPr>
            <w:r w:rsidRPr="002D0EC3">
              <w:rPr>
                <w:sz w:val="20"/>
              </w:rPr>
              <w:t>19.5</w:t>
            </w:r>
          </w:p>
        </w:tc>
        <w:tc>
          <w:tcPr>
            <w:tcW w:w="1133" w:type="dxa"/>
            <w:shd w:val="clear" w:color="auto" w:fill="DEEAF6" w:themeFill="accent1" w:themeFillTint="33"/>
            <w:noWrap/>
            <w:vAlign w:val="center"/>
            <w:hideMark/>
          </w:tcPr>
          <w:p w14:paraId="4F296B02" w14:textId="77777777" w:rsidR="008E3735" w:rsidRPr="002D0EC3" w:rsidRDefault="008E3735" w:rsidP="00FC2CE7">
            <w:pPr>
              <w:ind w:firstLine="0"/>
              <w:jc w:val="center"/>
              <w:rPr>
                <w:sz w:val="20"/>
              </w:rPr>
            </w:pPr>
            <w:r w:rsidRPr="002D0EC3">
              <w:rPr>
                <w:sz w:val="20"/>
              </w:rPr>
              <w:t>7.4</w:t>
            </w:r>
          </w:p>
        </w:tc>
        <w:tc>
          <w:tcPr>
            <w:tcW w:w="1134" w:type="dxa"/>
            <w:shd w:val="clear" w:color="auto" w:fill="FFC000"/>
            <w:noWrap/>
            <w:vAlign w:val="center"/>
            <w:hideMark/>
          </w:tcPr>
          <w:p w14:paraId="02FAF8D5" w14:textId="77777777" w:rsidR="008E3735" w:rsidRPr="002D0EC3" w:rsidRDefault="008E3735" w:rsidP="00FC2CE7">
            <w:pPr>
              <w:ind w:firstLine="0"/>
              <w:jc w:val="center"/>
              <w:rPr>
                <w:sz w:val="20"/>
              </w:rPr>
            </w:pPr>
            <w:r w:rsidRPr="002D0EC3">
              <w:rPr>
                <w:sz w:val="20"/>
              </w:rPr>
              <w:t>45.7</w:t>
            </w:r>
          </w:p>
        </w:tc>
      </w:tr>
    </w:tbl>
    <w:p w14:paraId="4174A750" w14:textId="30426B93" w:rsidR="008E3735" w:rsidRDefault="0027766A" w:rsidP="008E3735">
      <w:pPr>
        <w:spacing w:before="240"/>
        <w:rPr>
          <w:lang w:val="hy-AM"/>
        </w:rPr>
      </w:pPr>
      <w:r>
        <w:rPr>
          <w:lang w:val="hy-AM"/>
        </w:rPr>
        <w:t>Ց</w:t>
      </w:r>
      <w:r w:rsidR="008E3735">
        <w:rPr>
          <w:lang w:val="hy-AM"/>
        </w:rPr>
        <w:t xml:space="preserve">ավոք, </w:t>
      </w:r>
      <w:r>
        <w:rPr>
          <w:lang w:val="hy-AM"/>
        </w:rPr>
        <w:t xml:space="preserve">այս </w:t>
      </w:r>
      <w:r w:rsidR="008E3735">
        <w:rPr>
          <w:lang w:val="hy-AM"/>
        </w:rPr>
        <w:t>ծրագրերի կատարման մասով պատկերը շարունակում է խիստ բացասական մնալ նաև 2021</w:t>
      </w:r>
      <w:r>
        <w:rPr>
          <w:lang w:val="hy-AM"/>
        </w:rPr>
        <w:t xml:space="preserve">թ. </w:t>
      </w:r>
      <w:r w:rsidR="008E3735">
        <w:rPr>
          <w:lang w:val="hy-AM"/>
        </w:rPr>
        <w:t>առաջին կիսամյակի արդյունքներով</w:t>
      </w:r>
      <w:r>
        <w:rPr>
          <w:lang w:val="hy-AM"/>
        </w:rPr>
        <w:t xml:space="preserve">. </w:t>
      </w:r>
      <w:r w:rsidR="008E3735">
        <w:rPr>
          <w:lang w:val="hy-AM"/>
        </w:rPr>
        <w:t>դրանք շարունակում են թերակատարվել շուրջ 50</w:t>
      </w:r>
      <w:r w:rsidR="008E3735">
        <w:t>%-</w:t>
      </w:r>
      <w:r w:rsidR="008E3735">
        <w:rPr>
          <w:lang w:val="hy-AM"/>
        </w:rPr>
        <w:t xml:space="preserve">ով: </w:t>
      </w:r>
      <w:r>
        <w:rPr>
          <w:lang w:val="hy-AM"/>
        </w:rPr>
        <w:t>Ծ</w:t>
      </w:r>
      <w:r w:rsidR="008E3735">
        <w:rPr>
          <w:lang w:val="hy-AM"/>
        </w:rPr>
        <w:t>ախսերի թերակատարումն ուղեկցվում է նաև դրանց ծավալների կրճատմամբ, ինչը բնավ չի համապատասխանում պետական ներդրումների ավելացման` ՀՀ կառավարության խոստմանը:</w:t>
      </w:r>
    </w:p>
    <w:p w14:paraId="334373F7" w14:textId="7F25A39D" w:rsidR="008E3735" w:rsidRDefault="00A168D1" w:rsidP="008E3735">
      <w:pPr>
        <w:spacing w:before="240"/>
        <w:rPr>
          <w:lang w:val="hy-AM"/>
        </w:rPr>
      </w:pPr>
      <w:r>
        <w:rPr>
          <w:lang w:val="hy-AM"/>
        </w:rPr>
        <w:t>Ե</w:t>
      </w:r>
      <w:r w:rsidR="008E3735">
        <w:rPr>
          <w:lang w:val="hy-AM"/>
        </w:rPr>
        <w:t>նթակառուցվածքների զարգացմանն ուղղված ներդրումների թերակատրամամբ և կրճատմամբ պայմանավորված</w:t>
      </w:r>
      <w:r w:rsidR="0008794E" w:rsidRPr="008D325C">
        <w:rPr>
          <w:lang w:val="hy-AM"/>
        </w:rPr>
        <w:t>՝</w:t>
      </w:r>
      <w:r w:rsidR="008E3735">
        <w:rPr>
          <w:lang w:val="hy-AM"/>
        </w:rPr>
        <w:t xml:space="preserve"> էապես սրվել է տնտեսության ներուժի ընդլայնման խնդիրը: «Լույս» հիմնադրամի կողմից իրականացված </w:t>
      </w:r>
      <w:r w:rsidR="008E3735">
        <w:rPr>
          <w:lang w:val="hy-AM"/>
        </w:rPr>
        <w:lastRenderedPageBreak/>
        <w:t>վերլուծության</w:t>
      </w:r>
      <w:r w:rsidR="008E3735">
        <w:rPr>
          <w:rStyle w:val="FootnoteReference"/>
          <w:lang w:val="hy-AM"/>
        </w:rPr>
        <w:footnoteReference w:id="15"/>
      </w:r>
      <w:r w:rsidR="008E3735">
        <w:rPr>
          <w:lang w:val="hy-AM"/>
        </w:rPr>
        <w:t xml:space="preserve"> արդյունքները փաստում են, որ պետական ներդրումների թերակատարման արդյունքում էապես տուգանվում է երկրի տնտեսական ներուժը: </w:t>
      </w:r>
      <w:r w:rsidR="008E3735">
        <w:rPr>
          <w:b/>
          <w:lang w:val="hy-AM"/>
        </w:rPr>
        <w:t>Ուստի</w:t>
      </w:r>
      <w:r w:rsidR="008E3735" w:rsidRPr="0067239C">
        <w:rPr>
          <w:b/>
          <w:lang w:val="hy-AM"/>
        </w:rPr>
        <w:t xml:space="preserve">, ենթակառուցվածքներում </w:t>
      </w:r>
      <w:r w:rsidR="008E3735">
        <w:rPr>
          <w:b/>
          <w:lang w:val="hy-AM"/>
        </w:rPr>
        <w:t xml:space="preserve">պետական </w:t>
      </w:r>
      <w:r w:rsidR="008E3735" w:rsidRPr="0067239C">
        <w:rPr>
          <w:b/>
          <w:lang w:val="hy-AM"/>
        </w:rPr>
        <w:t xml:space="preserve">ներդրումների </w:t>
      </w:r>
      <w:r w:rsidR="008E3735">
        <w:rPr>
          <w:b/>
          <w:lang w:val="hy-AM"/>
        </w:rPr>
        <w:t>կրճատման և թերակատարման</w:t>
      </w:r>
      <w:r w:rsidR="008E3735" w:rsidRPr="0067239C">
        <w:rPr>
          <w:b/>
          <w:lang w:val="hy-AM"/>
        </w:rPr>
        <w:t xml:space="preserve"> պատճառով ՀՀ կառավարության գործունեությունը հանգեցրել է </w:t>
      </w:r>
      <w:r w:rsidR="008E3735" w:rsidRPr="008138BA">
        <w:rPr>
          <w:b/>
          <w:lang w:val="hy-AM"/>
        </w:rPr>
        <w:t>տնտեսության ներուժի կրճատմանը, տնտեսության մրցունակության և երկարաժամկետ բարձր տնտեսական աճի ապահովման հնարավորությունների թուլացմանը</w:t>
      </w:r>
      <w:r w:rsidR="008E3735" w:rsidRPr="0067239C">
        <w:rPr>
          <w:b/>
          <w:lang w:val="hy-AM"/>
        </w:rPr>
        <w:t>:</w:t>
      </w:r>
    </w:p>
    <w:p w14:paraId="3DC4A4A5" w14:textId="77777777" w:rsidR="008E3735" w:rsidRPr="00322A37" w:rsidRDefault="008E3735" w:rsidP="008E3735">
      <w:pPr>
        <w:spacing w:before="240"/>
        <w:rPr>
          <w:lang w:val="hy-AM"/>
        </w:rPr>
      </w:pPr>
      <w:r w:rsidRPr="00322A37">
        <w:rPr>
          <w:lang w:val="hy-AM"/>
        </w:rPr>
        <w:t>Ստացվում է, որ ՀՀ կառավարությունը ձախողել է ներդրումային քաղաքականությունը, ինչի արդյունքում կրճատվել են մասնավոր ներքին և օտարեկրյա ներդրումները, ինչպես նաև էապես թերակատարվել են պետական ներդրումները` խաթարելով տնտեսական աճի քաղաքականությունը:</w:t>
      </w:r>
    </w:p>
    <w:p w14:paraId="3BED2695" w14:textId="3F54BF5B" w:rsidR="008E3735" w:rsidRPr="00771F33" w:rsidRDefault="008E3735" w:rsidP="008E3735">
      <w:pPr>
        <w:spacing w:before="240"/>
        <w:rPr>
          <w:b/>
          <w:lang w:val="hy-AM"/>
        </w:rPr>
      </w:pPr>
      <w:r w:rsidRPr="002A4DA8">
        <w:rPr>
          <w:b/>
          <w:lang w:val="hy-AM"/>
        </w:rPr>
        <w:t xml:space="preserve">Արդյունքում ներդրումների կշիռը ՀՆԱ-ում </w:t>
      </w:r>
      <w:r>
        <w:rPr>
          <w:b/>
          <w:lang w:val="hy-AM"/>
        </w:rPr>
        <w:t>2017թ.</w:t>
      </w:r>
      <w:r w:rsidRPr="002A4DA8">
        <w:rPr>
          <w:b/>
          <w:lang w:val="hy-AM"/>
        </w:rPr>
        <w:t xml:space="preserve"> 17.6</w:t>
      </w:r>
      <w:r w:rsidRPr="00186240">
        <w:rPr>
          <w:b/>
          <w:lang w:val="hy-AM"/>
        </w:rPr>
        <w:t>%</w:t>
      </w:r>
      <w:r w:rsidRPr="002A4DA8">
        <w:rPr>
          <w:b/>
          <w:lang w:val="hy-AM"/>
        </w:rPr>
        <w:t xml:space="preserve"> մակարդակից 2019-ին նվազել է 1.8 տոկոսային կետով և կազմել 15.8</w:t>
      </w:r>
      <w:r w:rsidRPr="00186240">
        <w:rPr>
          <w:b/>
          <w:lang w:val="hy-AM"/>
        </w:rPr>
        <w:t>%`</w:t>
      </w:r>
      <w:r w:rsidRPr="002A4DA8">
        <w:rPr>
          <w:b/>
          <w:lang w:val="hy-AM"/>
        </w:rPr>
        <w:t xml:space="preserve"> ավելի բարդացնելով կառավարության թիրախի` ներդրումներ/ՀՆԱ հարաբերակցության 23-25</w:t>
      </w:r>
      <w:r w:rsidRPr="00186240">
        <w:rPr>
          <w:b/>
          <w:lang w:val="hy-AM"/>
        </w:rPr>
        <w:t>%</w:t>
      </w:r>
      <w:r w:rsidRPr="002A4DA8">
        <w:rPr>
          <w:b/>
          <w:lang w:val="hy-AM"/>
        </w:rPr>
        <w:t xml:space="preserve"> մակարդակի ապահովման հնարավորությունները: </w:t>
      </w:r>
      <w:r>
        <w:rPr>
          <w:b/>
          <w:lang w:val="hy-AM"/>
        </w:rPr>
        <w:t>2020թ.</w:t>
      </w:r>
      <w:r w:rsidRPr="002A4DA8">
        <w:rPr>
          <w:b/>
          <w:lang w:val="hy-AM"/>
        </w:rPr>
        <w:t xml:space="preserve"> ներդրումներ/ՀՆԱ ցուցանիշը թեև աճել է և կազմել 16.6</w:t>
      </w:r>
      <w:r w:rsidRPr="00186240">
        <w:rPr>
          <w:b/>
          <w:lang w:val="hy-AM"/>
        </w:rPr>
        <w:t xml:space="preserve">%, </w:t>
      </w:r>
      <w:r w:rsidRPr="002A4DA8">
        <w:rPr>
          <w:b/>
          <w:lang w:val="hy-AM"/>
        </w:rPr>
        <w:t xml:space="preserve">սակայն հարաբերակցության աճը ոչ թե թիրախի բարելավման արդյունք է, այլ պայմանավորված է այն հանգամանքով, որ 2020-ին </w:t>
      </w:r>
      <w:r w:rsidR="0035258B">
        <w:rPr>
          <w:b/>
          <w:lang w:val="hy-AM"/>
        </w:rPr>
        <w:t xml:space="preserve">անվանական </w:t>
      </w:r>
      <w:r w:rsidRPr="002A4DA8">
        <w:rPr>
          <w:b/>
          <w:lang w:val="hy-AM"/>
        </w:rPr>
        <w:t xml:space="preserve">ՀՆԱ-ի </w:t>
      </w:r>
      <w:r w:rsidR="0035258B">
        <w:rPr>
          <w:b/>
          <w:lang w:val="hy-AM"/>
        </w:rPr>
        <w:t>5.5</w:t>
      </w:r>
      <w:r w:rsidRPr="00186240">
        <w:rPr>
          <w:b/>
          <w:lang w:val="hy-AM"/>
        </w:rPr>
        <w:t>%</w:t>
      </w:r>
      <w:r w:rsidRPr="002A4DA8">
        <w:rPr>
          <w:b/>
          <w:lang w:val="hy-AM"/>
        </w:rPr>
        <w:t xml:space="preserve"> անկման </w:t>
      </w:r>
      <w:r w:rsidR="0035258B">
        <w:rPr>
          <w:b/>
          <w:lang w:val="hy-AM"/>
        </w:rPr>
        <w:t>համեմատ</w:t>
      </w:r>
      <w:r w:rsidR="0035258B" w:rsidRPr="002A4DA8">
        <w:rPr>
          <w:b/>
          <w:lang w:val="hy-AM"/>
        </w:rPr>
        <w:t xml:space="preserve"> ներդրումներ</w:t>
      </w:r>
      <w:r w:rsidR="0035258B">
        <w:rPr>
          <w:b/>
          <w:lang w:val="hy-AM"/>
        </w:rPr>
        <w:t>ն անվանական արտահայտությամբ</w:t>
      </w:r>
      <w:r w:rsidR="0035258B" w:rsidRPr="002A4DA8">
        <w:rPr>
          <w:b/>
          <w:lang w:val="hy-AM"/>
        </w:rPr>
        <w:t xml:space="preserve"> </w:t>
      </w:r>
      <w:r w:rsidR="0035258B">
        <w:rPr>
          <w:b/>
          <w:lang w:val="hy-AM"/>
        </w:rPr>
        <w:t>ավելի քիչ են նվազել` շուրջ 1.0</w:t>
      </w:r>
      <w:r w:rsidR="0035258B" w:rsidRPr="00186240">
        <w:rPr>
          <w:b/>
          <w:lang w:val="hy-AM"/>
        </w:rPr>
        <w:t>%</w:t>
      </w:r>
      <w:r w:rsidR="0008794E" w:rsidRPr="008D325C">
        <w:rPr>
          <w:b/>
          <w:lang w:val="hy-AM"/>
        </w:rPr>
        <w:t>-ով</w:t>
      </w:r>
      <w:r w:rsidRPr="002A4DA8">
        <w:rPr>
          <w:b/>
          <w:lang w:val="hy-AM"/>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2AE5CB14" w14:textId="77777777" w:rsidTr="00FC2CE7">
        <w:tc>
          <w:tcPr>
            <w:tcW w:w="9062" w:type="dxa"/>
            <w:shd w:val="clear" w:color="auto" w:fill="EDEDED" w:themeFill="accent3" w:themeFillTint="33"/>
          </w:tcPr>
          <w:p w14:paraId="13EDF766" w14:textId="77777777" w:rsidR="008E3735" w:rsidRPr="00670A1A" w:rsidRDefault="008E3735" w:rsidP="00FC2CE7">
            <w:pPr>
              <w:spacing w:before="60" w:after="60" w:line="276" w:lineRule="auto"/>
              <w:jc w:val="center"/>
              <w:rPr>
                <w:color w:val="00B0F0"/>
                <w:sz w:val="22"/>
                <w:szCs w:val="20"/>
                <w:lang w:val="hy-AM"/>
              </w:rPr>
            </w:pPr>
            <w:r w:rsidRPr="00670A1A">
              <w:rPr>
                <w:color w:val="00B0F0"/>
                <w:sz w:val="22"/>
                <w:szCs w:val="20"/>
                <w:lang w:val="hy-AM"/>
              </w:rPr>
              <w:t>ՀՀ կառավարության 2021թ. ծրագիր</w:t>
            </w:r>
          </w:p>
          <w:p w14:paraId="2B38D2A8" w14:textId="77777777" w:rsidR="008E3735" w:rsidRPr="0007763C" w:rsidRDefault="008E3735" w:rsidP="008E3735">
            <w:pPr>
              <w:pStyle w:val="ListParagraph"/>
              <w:numPr>
                <w:ilvl w:val="0"/>
                <w:numId w:val="11"/>
              </w:numPr>
              <w:spacing w:before="60" w:after="60" w:line="276" w:lineRule="auto"/>
              <w:ind w:left="318" w:hanging="284"/>
              <w:rPr>
                <w:sz w:val="20"/>
                <w:szCs w:val="20"/>
                <w:lang w:val="hy-AM"/>
              </w:rPr>
            </w:pPr>
            <w:r w:rsidRPr="0007763C">
              <w:rPr>
                <w:sz w:val="20"/>
                <w:szCs w:val="20"/>
                <w:lang w:val="hy-AM"/>
              </w:rPr>
              <w:t>Տնտեսական քաղաքականության թիրախներին հասնելու համար անհրաժեշտ է լինելու</w:t>
            </w:r>
            <w:r w:rsidRPr="0007763C">
              <w:rPr>
                <w:b/>
                <w:sz w:val="20"/>
                <w:szCs w:val="20"/>
                <w:lang w:val="hy-AM"/>
              </w:rPr>
              <w:t xml:space="preserve"> ներդրում/ՀՆԱ հարաբերակցությունը հասցնել առնվազն 25%-ի</w:t>
            </w:r>
            <w:r w:rsidRPr="0007763C">
              <w:rPr>
                <w:sz w:val="20"/>
                <w:szCs w:val="20"/>
                <w:lang w:val="hy-AM"/>
              </w:rPr>
              <w:t xml:space="preserve">։ Կառավարության քաղաքականությունը միտված է լինելու </w:t>
            </w:r>
            <w:r w:rsidRPr="0007763C">
              <w:rPr>
                <w:b/>
                <w:sz w:val="20"/>
                <w:szCs w:val="20"/>
                <w:lang w:val="hy-AM"/>
              </w:rPr>
              <w:t>օտարերկրյա ուղղակի ներդրումներ/ՀՆԱ 6% հարաբերակցություն</w:t>
            </w:r>
            <w:r w:rsidRPr="0007763C">
              <w:rPr>
                <w:sz w:val="20"/>
                <w:szCs w:val="20"/>
                <w:lang w:val="hy-AM"/>
              </w:rPr>
              <w:t xml:space="preserve"> ապահովելուն՝ շեշտադրելով որակյալ, գիտելիքահենք ներդրումային ծրագրերը:</w:t>
            </w:r>
          </w:p>
          <w:p w14:paraId="3DF63F43" w14:textId="77777777" w:rsidR="008E3735" w:rsidRPr="00186240" w:rsidRDefault="008E3735" w:rsidP="008E3735">
            <w:pPr>
              <w:pStyle w:val="ListParagraph"/>
              <w:numPr>
                <w:ilvl w:val="0"/>
                <w:numId w:val="11"/>
              </w:numPr>
              <w:spacing w:before="60" w:after="60" w:line="276" w:lineRule="auto"/>
              <w:ind w:left="318" w:hanging="284"/>
              <w:rPr>
                <w:sz w:val="20"/>
                <w:szCs w:val="20"/>
                <w:lang w:val="hy-AM"/>
              </w:rPr>
            </w:pPr>
            <w:r w:rsidRPr="0007763C">
              <w:rPr>
                <w:sz w:val="20"/>
                <w:szCs w:val="20"/>
                <w:lang w:val="hy-AM"/>
              </w:rPr>
              <w:t xml:space="preserve">Ֆիզիկական կապիտալի զարգացման համար </w:t>
            </w:r>
            <w:r w:rsidRPr="0007763C">
              <w:rPr>
                <w:b/>
                <w:sz w:val="20"/>
                <w:szCs w:val="20"/>
                <w:lang w:val="hy-AM"/>
              </w:rPr>
              <w:t>շարունակաբար բարելավվելու են հավելյալ արժեք գեներացնող ենթակառուցվածքները</w:t>
            </w:r>
            <w:r w:rsidRPr="0007763C">
              <w:rPr>
                <w:sz w:val="20"/>
                <w:szCs w:val="20"/>
                <w:lang w:val="hy-AM"/>
              </w:rPr>
              <w:t>, որն իր հերթին կնպաստի տարածքային համաչափ զարգացմանը:</w:t>
            </w:r>
          </w:p>
        </w:tc>
      </w:tr>
    </w:tbl>
    <w:p w14:paraId="4CAC7AA8" w14:textId="77777777" w:rsidR="008E3735" w:rsidRDefault="008E3735" w:rsidP="008E3735">
      <w:pPr>
        <w:spacing w:before="240"/>
        <w:rPr>
          <w:lang w:val="hy-AM"/>
        </w:rPr>
      </w:pPr>
      <w:r>
        <w:rPr>
          <w:lang w:val="hy-AM"/>
        </w:rPr>
        <w:t>Հարց է առաջանում. տապալած ներդրումային քաղաքականության պայմաններում ՀՀ կառավարության 2021թ. ծրագրային թիրախներն արդյո</w:t>
      </w:r>
      <w:r w:rsidRPr="00AD1B31">
        <w:rPr>
          <w:lang w:val="hy-AM"/>
        </w:rPr>
        <w:t>՞</w:t>
      </w:r>
      <w:r>
        <w:rPr>
          <w:lang w:val="hy-AM"/>
        </w:rPr>
        <w:t>ք իրատեսական են, հատկապես այն պարագայում, երբ տնտեսական աճի 7</w:t>
      </w:r>
      <w:r w:rsidRPr="00186240">
        <w:rPr>
          <w:lang w:val="hy-AM"/>
        </w:rPr>
        <w:t>%</w:t>
      </w:r>
      <w:r>
        <w:rPr>
          <w:lang w:val="hy-AM"/>
        </w:rPr>
        <w:t xml:space="preserve"> թիրախին հասնելու համար ՀՀ կառավարությունն անհրաժեշտ է համարում նշված ներդրումային թիրախների ապահովումը: </w:t>
      </w:r>
    </w:p>
    <w:p w14:paraId="0FEA684F" w14:textId="2C08A025" w:rsidR="008E3735" w:rsidRDefault="008E3735" w:rsidP="008E3735">
      <w:pPr>
        <w:spacing w:before="240"/>
        <w:rPr>
          <w:lang w:val="hy-AM"/>
        </w:rPr>
      </w:pPr>
      <w:r>
        <w:rPr>
          <w:lang w:val="hy-AM"/>
        </w:rPr>
        <w:lastRenderedPageBreak/>
        <w:t>Այսպես, ներդրումների կշիռը ՀՆԱ-ում առնվազն 25</w:t>
      </w:r>
      <w:r w:rsidRPr="00186240">
        <w:rPr>
          <w:lang w:val="hy-AM"/>
        </w:rPr>
        <w:t>%</w:t>
      </w:r>
      <w:r>
        <w:rPr>
          <w:lang w:val="hy-AM"/>
        </w:rPr>
        <w:t xml:space="preserve">-ի հասցնելու համար անհրաժեշտ է այս ցուցանիշը </w:t>
      </w:r>
      <w:r w:rsidR="00B16EFE">
        <w:rPr>
          <w:lang w:val="hy-AM"/>
        </w:rPr>
        <w:t>միջին</w:t>
      </w:r>
      <w:r w:rsidR="00B16EFE" w:rsidRPr="00A33DEA">
        <w:rPr>
          <w:lang w:val="hy-AM"/>
        </w:rPr>
        <w:t xml:space="preserve"> հաշվով</w:t>
      </w:r>
      <w:r w:rsidR="00B16EFE" w:rsidRPr="008D325C">
        <w:rPr>
          <w:lang w:val="hy-AM"/>
        </w:rPr>
        <w:t xml:space="preserve"> </w:t>
      </w:r>
      <w:r>
        <w:rPr>
          <w:lang w:val="hy-AM"/>
        </w:rPr>
        <w:t xml:space="preserve">տարեկան  բարելավել շուրջ 1.7 տոկոսային կետով, ինչը բարդ է պատկերացնել, քանի որ ՀՆԱ-ի աճի պայմաններում ներդրումներ/ՀՆԱ հարաբերակցությունը 2018-2019թթ. ընթացքում 2017-ի համեմատ միայն կրճատվել է </w:t>
      </w:r>
      <w:r w:rsidRPr="00186240">
        <w:rPr>
          <w:lang w:val="hy-AM"/>
        </w:rPr>
        <w:t>(</w:t>
      </w:r>
      <w:r>
        <w:rPr>
          <w:lang w:val="hy-AM"/>
        </w:rPr>
        <w:t>միջին</w:t>
      </w:r>
      <w:r w:rsidR="00B16EFE" w:rsidRPr="008D325C">
        <w:rPr>
          <w:lang w:val="hy-AM"/>
        </w:rPr>
        <w:t xml:space="preserve"> հաշվով</w:t>
      </w:r>
      <w:r>
        <w:rPr>
          <w:lang w:val="hy-AM"/>
        </w:rPr>
        <w:t xml:space="preserve"> տարեկան 0.9 տոկոսային կետով</w:t>
      </w:r>
      <w:r w:rsidRPr="00186240">
        <w:rPr>
          <w:lang w:val="hy-AM"/>
        </w:rPr>
        <w:t>)</w:t>
      </w:r>
      <w:r>
        <w:rPr>
          <w:lang w:val="hy-AM"/>
        </w:rPr>
        <w:t>, իսկ 2020-ի արդյունքը չի եղել ներդրումների աճի արդյունք:</w:t>
      </w:r>
    </w:p>
    <w:p w14:paraId="2EB05A0B" w14:textId="3DE0DB27" w:rsidR="008E3735" w:rsidRDefault="008E3735" w:rsidP="008E3735">
      <w:pPr>
        <w:spacing w:before="240"/>
        <w:rPr>
          <w:lang w:val="hy-AM"/>
        </w:rPr>
      </w:pPr>
      <w:r>
        <w:rPr>
          <w:lang w:val="hy-AM"/>
        </w:rPr>
        <w:t xml:space="preserve">Ընդ որում, պատկերն ավելի վատատեսական է դառնում, երբ դիտարկում ենք ներդրումների աճի վերաբերյալ կանխատեսումները: Մասնավորապես, ՀՀ ԿԲ 2021թ. </w:t>
      </w:r>
      <w:r w:rsidRPr="003B3D7F">
        <w:rPr>
          <w:lang w:val="hy-AM"/>
        </w:rPr>
        <w:t xml:space="preserve">սեպտեմբերի </w:t>
      </w:r>
      <w:r>
        <w:rPr>
          <w:lang w:val="hy-AM"/>
        </w:rPr>
        <w:t>կանխատեսումների համաձայն</w:t>
      </w:r>
      <w:r w:rsidR="00B16EFE" w:rsidRPr="008D325C">
        <w:rPr>
          <w:lang w:val="hy-AM"/>
        </w:rPr>
        <w:t>՝</w:t>
      </w:r>
      <w:r>
        <w:rPr>
          <w:lang w:val="hy-AM"/>
        </w:rPr>
        <w:t xml:space="preserve"> 2021թ. վերջին կգրանցվի ներդրումների 9.7</w:t>
      </w:r>
      <w:r w:rsidRPr="00186240">
        <w:rPr>
          <w:lang w:val="hy-AM"/>
        </w:rPr>
        <w:t>%</w:t>
      </w:r>
      <w:r>
        <w:rPr>
          <w:lang w:val="hy-AM"/>
        </w:rPr>
        <w:t xml:space="preserve"> անկում, ընդ որում` պետական ներդրումները կկրճատվեն 26.6</w:t>
      </w:r>
      <w:r w:rsidRPr="00186240">
        <w:rPr>
          <w:lang w:val="hy-AM"/>
        </w:rPr>
        <w:t>%-</w:t>
      </w:r>
      <w:r>
        <w:rPr>
          <w:lang w:val="hy-AM"/>
        </w:rPr>
        <w:t>ով, իսկ մասնավոր ներդրումները` 4.1</w:t>
      </w:r>
      <w:r w:rsidRPr="00186240">
        <w:rPr>
          <w:lang w:val="hy-AM"/>
        </w:rPr>
        <w:t>%-</w:t>
      </w:r>
      <w:r>
        <w:rPr>
          <w:lang w:val="hy-AM"/>
        </w:rPr>
        <w:t>ով: 2022-2023 թվականներին ՀՀ ԿԲ կանխատեսումների համաձայն</w:t>
      </w:r>
      <w:r w:rsidR="00B16EFE" w:rsidRPr="008D325C">
        <w:rPr>
          <w:lang w:val="hy-AM"/>
        </w:rPr>
        <w:t>՝</w:t>
      </w:r>
      <w:r>
        <w:rPr>
          <w:lang w:val="hy-AM"/>
        </w:rPr>
        <w:t xml:space="preserve"> սպասվում է ներդրումների համապատասխանաբար 4.8</w:t>
      </w:r>
      <w:r w:rsidRPr="00186240">
        <w:rPr>
          <w:lang w:val="hy-AM"/>
        </w:rPr>
        <w:t>%</w:t>
      </w:r>
      <w:r>
        <w:rPr>
          <w:lang w:val="hy-AM"/>
        </w:rPr>
        <w:t xml:space="preserve"> և 5.8</w:t>
      </w:r>
      <w:r w:rsidRPr="00186240">
        <w:rPr>
          <w:lang w:val="hy-AM"/>
        </w:rPr>
        <w:t>%</w:t>
      </w:r>
      <w:r>
        <w:rPr>
          <w:lang w:val="hy-AM"/>
        </w:rPr>
        <w:t xml:space="preserve"> աճ, ինչը բավարար չի լինի թիրախի ապահովման համար: </w:t>
      </w:r>
    </w:p>
    <w:p w14:paraId="3E7B2C71" w14:textId="61F4734C" w:rsidR="008E3735" w:rsidRPr="00A65A31" w:rsidRDefault="008E3735" w:rsidP="008E3735">
      <w:pPr>
        <w:spacing w:before="240"/>
        <w:rPr>
          <w:lang w:val="hy-AM"/>
        </w:rPr>
      </w:pPr>
      <w:r>
        <w:rPr>
          <w:lang w:val="hy-AM"/>
        </w:rPr>
        <w:t xml:space="preserve">Զավեշտալի է, որ ՀՀ կառավարությունն ինքն իր կանխատեսումներով </w:t>
      </w:r>
      <w:r w:rsidR="00E76684">
        <w:rPr>
          <w:lang w:val="hy-AM"/>
        </w:rPr>
        <w:t>202</w:t>
      </w:r>
      <w:r w:rsidR="00D26117">
        <w:rPr>
          <w:lang w:val="hy-AM"/>
        </w:rPr>
        <w:t>1</w:t>
      </w:r>
      <w:r w:rsidR="00E76684">
        <w:rPr>
          <w:lang w:val="hy-AM"/>
        </w:rPr>
        <w:t>-2024թթ.</w:t>
      </w:r>
      <w:r>
        <w:rPr>
          <w:lang w:val="hy-AM"/>
        </w:rPr>
        <w:t xml:space="preserve"> չի ակնկալում ներդրումների </w:t>
      </w:r>
      <w:r w:rsidR="00E76684">
        <w:rPr>
          <w:lang w:val="hy-AM"/>
        </w:rPr>
        <w:t xml:space="preserve">պերմանենտ </w:t>
      </w:r>
      <w:r>
        <w:rPr>
          <w:lang w:val="hy-AM"/>
        </w:rPr>
        <w:t>կտրուկ աճ, ինչն ավելի անհասկանալի և անիրատեսական է դարձնում ներդրումային թիրախի ապահովման խնդիրը</w:t>
      </w:r>
      <w:r w:rsidR="00E76684">
        <w:rPr>
          <w:rStyle w:val="FootnoteReference"/>
          <w:lang w:val="hy-AM"/>
        </w:rPr>
        <w:footnoteReference w:id="16"/>
      </w:r>
      <w:r>
        <w:rPr>
          <w:lang w:val="hy-AM"/>
        </w:rPr>
        <w:t xml:space="preserve">: Այսպես, ՀՀ կառավարության սպասումներով 2021 թվականին կգրանցվի ներդրումների </w:t>
      </w:r>
      <w:r w:rsidR="00752126">
        <w:rPr>
          <w:lang w:val="hy-AM"/>
        </w:rPr>
        <w:t>3.6</w:t>
      </w:r>
      <w:r w:rsidRPr="00186240">
        <w:rPr>
          <w:lang w:val="hy-AM"/>
        </w:rPr>
        <w:t>%</w:t>
      </w:r>
      <w:r>
        <w:rPr>
          <w:lang w:val="hy-AM"/>
        </w:rPr>
        <w:t xml:space="preserve"> իրական աճ, 2022-ին` </w:t>
      </w:r>
      <w:r w:rsidR="00752126">
        <w:rPr>
          <w:lang w:val="hy-AM"/>
        </w:rPr>
        <w:t>22.5</w:t>
      </w:r>
      <w:r w:rsidRPr="00186240">
        <w:rPr>
          <w:lang w:val="hy-AM"/>
        </w:rPr>
        <w:t>%</w:t>
      </w:r>
      <w:r>
        <w:rPr>
          <w:lang w:val="hy-AM"/>
        </w:rPr>
        <w:t xml:space="preserve"> աճ </w:t>
      </w:r>
      <w:r w:rsidRPr="00186240">
        <w:rPr>
          <w:lang w:val="hy-AM"/>
        </w:rPr>
        <w:t>(</w:t>
      </w:r>
      <w:r>
        <w:rPr>
          <w:lang w:val="hy-AM"/>
        </w:rPr>
        <w:t>հիմնականում պայմանավորված լինելով պետական ներդրումների աճով</w:t>
      </w:r>
      <w:r w:rsidRPr="00186240">
        <w:rPr>
          <w:lang w:val="hy-AM"/>
        </w:rPr>
        <w:t>)</w:t>
      </w:r>
      <w:r>
        <w:rPr>
          <w:lang w:val="hy-AM"/>
        </w:rPr>
        <w:t>, իսկ 2023-2024 թվականներին ներդրումների աճի տեմպը կթուլանա` կազմելով համապատասխանաբար 4.5</w:t>
      </w:r>
      <w:r w:rsidRPr="00186240">
        <w:rPr>
          <w:lang w:val="hy-AM"/>
        </w:rPr>
        <w:t>%</w:t>
      </w:r>
      <w:r>
        <w:rPr>
          <w:lang w:val="hy-AM"/>
        </w:rPr>
        <w:t xml:space="preserve"> և 5.4</w:t>
      </w:r>
      <w:r w:rsidRPr="00186240">
        <w:rPr>
          <w:lang w:val="hy-AM"/>
        </w:rPr>
        <w:t>%</w:t>
      </w:r>
      <w:r>
        <w:rPr>
          <w:lang w:val="hy-AM"/>
        </w:rPr>
        <w:t xml:space="preserve">: </w:t>
      </w:r>
      <w:r w:rsidRPr="00771EE9">
        <w:rPr>
          <w:b/>
          <w:lang w:val="hy-AM"/>
        </w:rPr>
        <w:t xml:space="preserve">Եվ սա այն դեպքում, </w:t>
      </w:r>
      <w:r w:rsidR="00186240" w:rsidRPr="00771EE9">
        <w:rPr>
          <w:b/>
          <w:lang w:val="hy-AM"/>
        </w:rPr>
        <w:t>երբ</w:t>
      </w:r>
      <w:r w:rsidRPr="00771EE9">
        <w:rPr>
          <w:b/>
          <w:lang w:val="hy-AM"/>
        </w:rPr>
        <w:t xml:space="preserve"> ծրագրային </w:t>
      </w:r>
      <w:r w:rsidR="00186240" w:rsidRPr="00771EE9">
        <w:rPr>
          <w:b/>
          <w:lang w:val="hy-AM"/>
        </w:rPr>
        <w:t>թիրախին հասնելու</w:t>
      </w:r>
      <w:r w:rsidRPr="00771EE9">
        <w:rPr>
          <w:b/>
          <w:lang w:val="hy-AM"/>
        </w:rPr>
        <w:t xml:space="preserve"> համար անհրաժեշտ է լինելու ապահովել ներդրումների տարեկան միջին</w:t>
      </w:r>
      <w:r w:rsidR="00B16EFE" w:rsidRPr="008D325C">
        <w:rPr>
          <w:b/>
          <w:lang w:val="hy-AM"/>
        </w:rPr>
        <w:t xml:space="preserve"> հաշվով</w:t>
      </w:r>
      <w:r w:rsidRPr="00771EE9">
        <w:rPr>
          <w:b/>
          <w:lang w:val="hy-AM"/>
        </w:rPr>
        <w:t xml:space="preserve"> </w:t>
      </w:r>
      <w:r w:rsidR="00E23811" w:rsidRPr="00771EE9">
        <w:rPr>
          <w:b/>
          <w:lang w:val="hy-AM"/>
        </w:rPr>
        <w:t xml:space="preserve">շուրջ </w:t>
      </w:r>
      <w:r w:rsidRPr="00771EE9">
        <w:rPr>
          <w:b/>
          <w:lang w:val="hy-AM"/>
        </w:rPr>
        <w:t>20% աճ:</w:t>
      </w:r>
    </w:p>
    <w:p w14:paraId="1664B9BA" w14:textId="5A96930C" w:rsidR="008E3735" w:rsidRDefault="008E3735" w:rsidP="008E3735">
      <w:pPr>
        <w:spacing w:before="240"/>
        <w:rPr>
          <w:lang w:val="hy-AM"/>
        </w:rPr>
      </w:pPr>
      <w:r>
        <w:rPr>
          <w:lang w:val="hy-AM"/>
        </w:rPr>
        <w:t>Ընդ որում, 2022-2024թթ. ՄԺԾ ծրագրում ներկայացված նույնիսկ բարձր տնտեսական աճի սցենարով չի կանխատեսվում ներդրումներ/ՀՆԱ հարաբերակցության առնվազն 25</w:t>
      </w:r>
      <w:r w:rsidRPr="00186240">
        <w:rPr>
          <w:lang w:val="hy-AM"/>
        </w:rPr>
        <w:t>%</w:t>
      </w:r>
      <w:r>
        <w:rPr>
          <w:lang w:val="hy-AM"/>
        </w:rPr>
        <w:t xml:space="preserve"> մակարդակի ապահովում 2026 թվականի վերջում </w:t>
      </w:r>
      <w:r w:rsidRPr="00186240">
        <w:rPr>
          <w:lang w:val="hy-AM"/>
        </w:rPr>
        <w:t>(</w:t>
      </w:r>
      <w:r>
        <w:rPr>
          <w:lang w:val="hy-AM"/>
        </w:rPr>
        <w:t>ինչը ՀՀ կառավարության 2021թ. ծրագրային ժամանակահատվածի ավարտն է</w:t>
      </w:r>
      <w:r w:rsidRPr="00186240">
        <w:rPr>
          <w:lang w:val="hy-AM"/>
        </w:rPr>
        <w:t>)</w:t>
      </w:r>
      <w:r>
        <w:rPr>
          <w:lang w:val="hy-AM"/>
        </w:rPr>
        <w:t>: Նշված սցենարի համաձայն</w:t>
      </w:r>
      <w:r w:rsidR="00B16EFE" w:rsidRPr="008D325C">
        <w:rPr>
          <w:lang w:val="hy-AM"/>
        </w:rPr>
        <w:t>՝</w:t>
      </w:r>
      <w:r>
        <w:rPr>
          <w:lang w:val="hy-AM"/>
        </w:rPr>
        <w:t xml:space="preserve"> ներդրումների կշիռը ՀՆԱ-ում 2026 թվականին կհասնի 21.5</w:t>
      </w:r>
      <w:r w:rsidRPr="00186240">
        <w:rPr>
          <w:lang w:val="hy-AM"/>
        </w:rPr>
        <w:t>%-</w:t>
      </w:r>
      <w:r>
        <w:rPr>
          <w:lang w:val="hy-AM"/>
        </w:rPr>
        <w:t>ի, ինչը ցածր է ՀՀ կառավարության 2021թ. ծրագրային թիրախից շուրջ 3.5 տոկոսային կետով:</w:t>
      </w:r>
    </w:p>
    <w:p w14:paraId="3135E3C5" w14:textId="3BEC14A6" w:rsidR="008E3735" w:rsidRPr="00907055" w:rsidRDefault="008E3735" w:rsidP="008E3735">
      <w:pPr>
        <w:spacing w:before="240"/>
        <w:rPr>
          <w:lang w:val="hy-AM"/>
        </w:rPr>
      </w:pPr>
      <w:r>
        <w:rPr>
          <w:lang w:val="hy-AM"/>
        </w:rPr>
        <w:t xml:space="preserve">Պետական ներդրումների </w:t>
      </w:r>
      <w:r w:rsidRPr="00186240">
        <w:rPr>
          <w:lang w:val="hy-AM"/>
        </w:rPr>
        <w:t>(</w:t>
      </w:r>
      <w:r>
        <w:rPr>
          <w:lang w:val="hy-AM"/>
        </w:rPr>
        <w:t>տնտեսության ենթակառուցվածքների բարելավմանն ուղղված</w:t>
      </w:r>
      <w:r w:rsidRPr="00186240">
        <w:rPr>
          <w:lang w:val="hy-AM"/>
        </w:rPr>
        <w:t>)</w:t>
      </w:r>
      <w:r>
        <w:rPr>
          <w:lang w:val="hy-AM"/>
        </w:rPr>
        <w:t xml:space="preserve"> վերաբերյալ ՀՀ կառավարության խոստումը ևս </w:t>
      </w:r>
      <w:r>
        <w:rPr>
          <w:lang w:val="hy-AM"/>
        </w:rPr>
        <w:lastRenderedPageBreak/>
        <w:t>վստահություն չի ներշնչում, քանի որ, ինչպես համոզվեցինք, վերջին տարիներին պետական ներդրումները շարունակաբար թերակատարվել են, ինչի արդյունքում չի հաջողվել անհրաժեշտ չափով խթանել տնտեսությունը` ավելի թուլացնելով ՀՀ ներդրումային միջավայրը:</w:t>
      </w:r>
    </w:p>
    <w:p w14:paraId="7B6FD62D" w14:textId="5D9421CD" w:rsidR="008E3735" w:rsidRPr="00F27895" w:rsidRDefault="008E3735" w:rsidP="008E3735">
      <w:pPr>
        <w:spacing w:before="240"/>
        <w:rPr>
          <w:b/>
          <w:lang w:val="hy-AM"/>
        </w:rPr>
      </w:pPr>
      <w:r w:rsidRPr="00F27895">
        <w:rPr>
          <w:b/>
          <w:lang w:val="hy-AM"/>
        </w:rPr>
        <w:t xml:space="preserve">Ստացվում է, որ ներդրումներ/ՀՆԱ </w:t>
      </w:r>
      <w:r>
        <w:rPr>
          <w:b/>
          <w:lang w:val="hy-AM"/>
        </w:rPr>
        <w:t>հարաբերակցությունն</w:t>
      </w:r>
      <w:r w:rsidRPr="00F27895">
        <w:rPr>
          <w:b/>
          <w:lang w:val="hy-AM"/>
        </w:rPr>
        <w:t xml:space="preserve"> առնվազն </w:t>
      </w:r>
      <w:r w:rsidR="00B16EFE" w:rsidRPr="008D325C">
        <w:rPr>
          <w:b/>
          <w:lang w:val="hy-AM"/>
        </w:rPr>
        <w:t xml:space="preserve">   </w:t>
      </w:r>
      <w:r w:rsidRPr="00F27895">
        <w:rPr>
          <w:b/>
          <w:lang w:val="hy-AM"/>
        </w:rPr>
        <w:t>25</w:t>
      </w:r>
      <w:r w:rsidRPr="00186240">
        <w:rPr>
          <w:b/>
          <w:lang w:val="hy-AM"/>
        </w:rPr>
        <w:t>%-</w:t>
      </w:r>
      <w:r w:rsidRPr="00F27895">
        <w:rPr>
          <w:b/>
          <w:lang w:val="hy-AM"/>
        </w:rPr>
        <w:t>ի հասցնելու ՀՀ կառավարության 2021թ. ծրագրի թիրախն անիրատեսական է, քանի որ միջնաժամկետ հորիզոնում</w:t>
      </w:r>
      <w:r w:rsidR="00603BE1">
        <w:rPr>
          <w:b/>
          <w:lang w:val="hy-AM"/>
        </w:rPr>
        <w:t>,</w:t>
      </w:r>
      <w:r w:rsidRPr="00F27895">
        <w:rPr>
          <w:b/>
          <w:lang w:val="hy-AM"/>
        </w:rPr>
        <w:t xml:space="preserve"> այդ թվում</w:t>
      </w:r>
      <w:r w:rsidR="00603BE1">
        <w:rPr>
          <w:b/>
          <w:lang w:val="hy-AM"/>
        </w:rPr>
        <w:t>՝</w:t>
      </w:r>
      <w:r w:rsidRPr="00F27895">
        <w:rPr>
          <w:b/>
          <w:lang w:val="hy-AM"/>
        </w:rPr>
        <w:t xml:space="preserve"> հենց ՀՀ կառավարության կողմից չի կանխատեսվում ներդրումների աճի անհրաժեշտ տեմպ</w:t>
      </w:r>
      <w:r>
        <w:rPr>
          <w:b/>
          <w:lang w:val="hy-AM"/>
        </w:rPr>
        <w:t>, իսկ նախորդ տարիների արդյունքները միայն ավելի վատատեսական սցենար են կանխագուշակում:</w:t>
      </w:r>
    </w:p>
    <w:p w14:paraId="0C7885D8" w14:textId="6AE0E56A" w:rsidR="008E3735" w:rsidRDefault="008E3735" w:rsidP="008E3735">
      <w:pPr>
        <w:spacing w:before="240"/>
        <w:rPr>
          <w:lang w:val="hy-AM"/>
        </w:rPr>
      </w:pPr>
      <w:r>
        <w:rPr>
          <w:lang w:val="hy-AM"/>
        </w:rPr>
        <w:t>Ինչ վերաբերում է ՕՈՒՆ/ՀՆԱ հարաբերակցությունը մինչև 2026թ. 6</w:t>
      </w:r>
      <w:r w:rsidRPr="00186240">
        <w:rPr>
          <w:lang w:val="hy-AM"/>
        </w:rPr>
        <w:t>%</w:t>
      </w:r>
      <w:r>
        <w:rPr>
          <w:lang w:val="hy-AM"/>
        </w:rPr>
        <w:t xml:space="preserve">-ի հասցնելուն, ապա կրկին պետք է փաստենք, որ սա չափազանց լավատեսական սպասում է: 2020թ. չափազանց ցածր </w:t>
      </w:r>
      <w:r w:rsidRPr="00186240">
        <w:rPr>
          <w:lang w:val="hy-AM"/>
        </w:rPr>
        <w:t>(</w:t>
      </w:r>
      <w:r>
        <w:rPr>
          <w:lang w:val="hy-AM"/>
        </w:rPr>
        <w:t>0.4</w:t>
      </w:r>
      <w:r w:rsidRPr="00186240">
        <w:rPr>
          <w:lang w:val="hy-AM"/>
        </w:rPr>
        <w:t>%)</w:t>
      </w:r>
      <w:r>
        <w:rPr>
          <w:lang w:val="hy-AM"/>
        </w:rPr>
        <w:t xml:space="preserve"> մակարդակից ՕՈՒՆ/ՀՆԱ-ն 6</w:t>
      </w:r>
      <w:r w:rsidRPr="00186240">
        <w:rPr>
          <w:lang w:val="hy-AM"/>
        </w:rPr>
        <w:t>%</w:t>
      </w:r>
      <w:r>
        <w:rPr>
          <w:lang w:val="hy-AM"/>
        </w:rPr>
        <w:t>-ի հասցնելու համար ՀՀ կառավարությանն անհրաժեշտ է լինելու ապահովել ցուցանիշի տարեկան միջին</w:t>
      </w:r>
      <w:r w:rsidR="00B16EFE" w:rsidRPr="008D325C">
        <w:rPr>
          <w:lang w:val="hy-AM"/>
        </w:rPr>
        <w:t xml:space="preserve"> հաշվով</w:t>
      </w:r>
      <w:r>
        <w:rPr>
          <w:lang w:val="hy-AM"/>
        </w:rPr>
        <w:t xml:space="preserve"> 1.1 տոկոսային կետով բարելավում: </w:t>
      </w:r>
      <w:r w:rsidRPr="00B1065A">
        <w:rPr>
          <w:b/>
          <w:lang w:val="hy-AM"/>
        </w:rPr>
        <w:t>Կրկին, հաշվի առնելով այն հանգամանքը, որ ՀՀ կառավարության գործունեության ընթացքում այս ցուցանիշը գրանցել է միայն նվազող դինամիկա, և ըստ էության</w:t>
      </w:r>
      <w:r w:rsidR="00B16EFE" w:rsidRPr="008D325C">
        <w:rPr>
          <w:b/>
          <w:lang w:val="hy-AM"/>
        </w:rPr>
        <w:t>՝</w:t>
      </w:r>
      <w:r w:rsidRPr="00B1065A">
        <w:rPr>
          <w:b/>
          <w:lang w:val="hy-AM"/>
        </w:rPr>
        <w:t xml:space="preserve"> կառավարությանը չի հաջողվել իրականացնել օտարերկրյա ներդրումների խթանման քաղաքականություն, իսկ ՕՈՒՆ-ի շարունակաբար կրճատման վերաբերյալ որևէ վերլուծություն կամ ոլորտում առկա խնդիրների ախտորոշում չի ներկայացվում` նշված թիրախին հասնելը կարելի է համարել անիրատեսական:</w:t>
      </w:r>
    </w:p>
    <w:p w14:paraId="06B36EF0" w14:textId="0BF3E902" w:rsidR="008E3735" w:rsidRDefault="008E3735" w:rsidP="008E3735">
      <w:pPr>
        <w:spacing w:before="240"/>
        <w:rPr>
          <w:b/>
          <w:lang w:val="hy-AM"/>
        </w:rPr>
      </w:pPr>
      <w:r>
        <w:rPr>
          <w:b/>
          <w:lang w:val="hy-AM"/>
        </w:rPr>
        <w:t>Ամփոփելով</w:t>
      </w:r>
      <w:r w:rsidR="00B16EFE" w:rsidRPr="008D325C">
        <w:rPr>
          <w:b/>
          <w:lang w:val="hy-AM"/>
        </w:rPr>
        <w:t>՝</w:t>
      </w:r>
      <w:r w:rsidRPr="0016320D">
        <w:rPr>
          <w:b/>
          <w:lang w:val="hy-AM"/>
        </w:rPr>
        <w:t xml:space="preserve"> կարող ենք փաստել, որ </w:t>
      </w:r>
      <w:r>
        <w:rPr>
          <w:b/>
          <w:lang w:val="hy-AM"/>
        </w:rPr>
        <w:t xml:space="preserve">ՀՀ </w:t>
      </w:r>
      <w:r w:rsidRPr="0016320D">
        <w:rPr>
          <w:b/>
          <w:lang w:val="hy-AM"/>
        </w:rPr>
        <w:t xml:space="preserve">կառավարության </w:t>
      </w:r>
      <w:r>
        <w:rPr>
          <w:b/>
          <w:lang w:val="hy-AM"/>
        </w:rPr>
        <w:t>ներդրումային</w:t>
      </w:r>
      <w:r w:rsidRPr="0016320D">
        <w:rPr>
          <w:b/>
          <w:lang w:val="hy-AM"/>
        </w:rPr>
        <w:t xml:space="preserve"> թիրախները չափազանց հավակնոտ են և անիրատեսական: Արդյունքում, հարցականի տակ է մնում տնտեսական աճի ներդրումային մոդելին անցման ՀՀ կառավարության հանձնառությունը: Սա իր հերթին շատ ավելի մտահոգիչ է տնտեսական որակյալ աճի ապահովման քաղաքականության թիրախին հասնելու համատեքստում և հիմքեր է ստեղծում ենթադրելու, որ ՀՀ կառավարությանը չի հաջողվելու ապահովել ոչ միայն ներդրումային աճը, այլև դրա արդյունքում կրկին ձախողվելու է տնտեսական աճի քաղաքականությունը:</w:t>
      </w:r>
    </w:p>
    <w:p w14:paraId="6CD5618A" w14:textId="273EB769" w:rsidR="00D63033" w:rsidRPr="009D4A3C" w:rsidRDefault="00D63033" w:rsidP="008E3735">
      <w:pPr>
        <w:spacing w:before="240"/>
        <w:rPr>
          <w:b/>
          <w:lang w:val="hy-AM"/>
        </w:rPr>
      </w:pPr>
      <w:r>
        <w:rPr>
          <w:lang w:val="hy-AM"/>
        </w:rPr>
        <w:t>Ներդրումային քաղաքականության ձախողումն իր հերթին մի շարք տնտեսական քաղաքականությունների ձախողման հետևանք է, որ</w:t>
      </w:r>
      <w:r w:rsidR="001E0AD3">
        <w:rPr>
          <w:lang w:val="hy-AM"/>
        </w:rPr>
        <w:t>ոնց</w:t>
      </w:r>
      <w:r>
        <w:rPr>
          <w:lang w:val="hy-AM"/>
        </w:rPr>
        <w:t xml:space="preserve">ից </w:t>
      </w:r>
      <w:r w:rsidR="001E0AD3">
        <w:rPr>
          <w:lang w:val="hy-AM"/>
        </w:rPr>
        <w:t>կառանձնացնենք</w:t>
      </w:r>
      <w:r>
        <w:rPr>
          <w:lang w:val="hy-AM"/>
        </w:rPr>
        <w:t xml:space="preserve"> բարենպաստ գործարար միջավայրի ապահովման, ինչպես նաև փոքր և միջին ձեռնարկատիրության </w:t>
      </w:r>
      <w:r w:rsidRPr="00186240">
        <w:rPr>
          <w:lang w:val="hy-AM"/>
        </w:rPr>
        <w:t>(</w:t>
      </w:r>
      <w:r>
        <w:rPr>
          <w:lang w:val="hy-AM"/>
        </w:rPr>
        <w:t>ՓՄՁ</w:t>
      </w:r>
      <w:r w:rsidRPr="00186240">
        <w:rPr>
          <w:lang w:val="hy-AM"/>
        </w:rPr>
        <w:t>)</w:t>
      </w:r>
      <w:r>
        <w:rPr>
          <w:lang w:val="hy-AM"/>
        </w:rPr>
        <w:t xml:space="preserve"> խթանման քաղաքականությունները: </w:t>
      </w:r>
    </w:p>
    <w:p w14:paraId="014A1564" w14:textId="07BD979E" w:rsidR="008E3735" w:rsidRPr="00A74E99" w:rsidRDefault="008E3735" w:rsidP="002D0EC3">
      <w:pPr>
        <w:pStyle w:val="Heading3"/>
        <w:rPr>
          <w:color w:val="00B3C4"/>
          <w:lang w:val="hy-AM"/>
        </w:rPr>
      </w:pPr>
      <w:bookmarkStart w:id="5" w:name="_Toc88138977"/>
      <w:r w:rsidRPr="00A74E99">
        <w:rPr>
          <w:color w:val="00B3C4"/>
          <w:lang w:val="hy-AM"/>
        </w:rPr>
        <w:lastRenderedPageBreak/>
        <w:t>2.1.1. Գործարար միջավայրի խթանման</w:t>
      </w:r>
      <w:r w:rsidR="00B14775" w:rsidRPr="00A74E99">
        <w:rPr>
          <w:color w:val="00B3C4"/>
          <w:lang w:val="hy-AM"/>
        </w:rPr>
        <w:t xml:space="preserve"> և փոքր </w:t>
      </w:r>
      <w:r w:rsidR="00127E62" w:rsidRPr="00A74E99">
        <w:rPr>
          <w:color w:val="00B3C4"/>
          <w:lang w:val="hy-AM"/>
        </w:rPr>
        <w:t xml:space="preserve">ու </w:t>
      </w:r>
      <w:r w:rsidR="00B14775" w:rsidRPr="00A74E99">
        <w:rPr>
          <w:color w:val="00B3C4"/>
          <w:lang w:val="hy-AM"/>
        </w:rPr>
        <w:t xml:space="preserve">միջին ձեռնարկատիրության զարգացման </w:t>
      </w:r>
      <w:r w:rsidRPr="00A74E99">
        <w:rPr>
          <w:color w:val="00B3C4"/>
          <w:lang w:val="hy-AM"/>
        </w:rPr>
        <w:t>քաղաքականությունը</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407E2393" w14:textId="77777777" w:rsidTr="00FC2CE7">
        <w:tc>
          <w:tcPr>
            <w:tcW w:w="9062" w:type="dxa"/>
            <w:shd w:val="clear" w:color="auto" w:fill="EDEDED" w:themeFill="accent3" w:themeFillTint="33"/>
          </w:tcPr>
          <w:p w14:paraId="12235AC6" w14:textId="77777777" w:rsidR="008E3735" w:rsidRPr="00A74E99" w:rsidRDefault="008E3735" w:rsidP="00FC2CE7">
            <w:pPr>
              <w:spacing w:before="60" w:after="60" w:line="276" w:lineRule="auto"/>
              <w:jc w:val="center"/>
              <w:rPr>
                <w:color w:val="00B3C4"/>
                <w:sz w:val="22"/>
                <w:lang w:val="hy-AM"/>
              </w:rPr>
            </w:pPr>
            <w:r w:rsidRPr="00A74E99">
              <w:rPr>
                <w:color w:val="00B3C4"/>
                <w:sz w:val="22"/>
                <w:lang w:val="hy-AM"/>
              </w:rPr>
              <w:t>ՀՀ կառավարության 2019թ. ծրագիր</w:t>
            </w:r>
          </w:p>
          <w:p w14:paraId="150E39DB" w14:textId="02B6DE28" w:rsidR="008E3735" w:rsidRPr="002D0EC3" w:rsidRDefault="008E3735" w:rsidP="008E3735">
            <w:pPr>
              <w:pStyle w:val="ListParagraph"/>
              <w:numPr>
                <w:ilvl w:val="0"/>
                <w:numId w:val="12"/>
              </w:numPr>
              <w:spacing w:before="60" w:after="60" w:line="276" w:lineRule="auto"/>
              <w:ind w:left="318" w:hanging="284"/>
              <w:rPr>
                <w:sz w:val="20"/>
                <w:szCs w:val="20"/>
                <w:lang w:val="hy-AM"/>
              </w:rPr>
            </w:pPr>
            <w:r w:rsidRPr="002D0EC3">
              <w:rPr>
                <w:sz w:val="20"/>
                <w:lang w:val="hy-AM"/>
              </w:rPr>
              <w:t>Գործարար միջավայրի վրա պետական քաղաքականության ազդեցության գնահատումը կարևորվելու է ինչպես Հայաստանում քաղաքացիների ընկալումների, այնպես էլ միջազգային համեմատականների տեսանկյունից:</w:t>
            </w:r>
            <w:r w:rsidRPr="009D4A3C">
              <w:rPr>
                <w:sz w:val="20"/>
                <w:lang w:val="hy-AM"/>
              </w:rPr>
              <w:t xml:space="preserve"> </w:t>
            </w:r>
          </w:p>
          <w:p w14:paraId="715E0F4E" w14:textId="24FA9B4C" w:rsidR="00C66BF0" w:rsidRPr="00155DC9" w:rsidRDefault="00C66BF0" w:rsidP="008E3735">
            <w:pPr>
              <w:pStyle w:val="ListParagraph"/>
              <w:numPr>
                <w:ilvl w:val="0"/>
                <w:numId w:val="12"/>
              </w:numPr>
              <w:spacing w:before="60" w:after="60" w:line="276" w:lineRule="auto"/>
              <w:ind w:left="318" w:hanging="284"/>
              <w:rPr>
                <w:sz w:val="20"/>
                <w:lang w:val="hy-AM"/>
              </w:rPr>
            </w:pPr>
            <w:r w:rsidRPr="00A537CE">
              <w:rPr>
                <w:sz w:val="20"/>
                <w:szCs w:val="20"/>
                <w:lang w:val="hy-AM"/>
              </w:rPr>
              <w:t>Կառավարությունը մեծապես կարևորում է փոքր և միջին ձեռնարկատիրությունը և համալիր քայլեր է ձեռնարկելու ոլորտում առկա խոչընդոտների վերացման ուղղությամբ:</w:t>
            </w:r>
          </w:p>
        </w:tc>
      </w:tr>
    </w:tbl>
    <w:p w14:paraId="0635FB1C" w14:textId="2C0F0E23" w:rsidR="008E3735" w:rsidRDefault="00A20CAB" w:rsidP="008E3735">
      <w:pPr>
        <w:spacing w:before="240"/>
        <w:rPr>
          <w:b/>
          <w:lang w:val="hy-AM"/>
        </w:rPr>
      </w:pPr>
      <w:r w:rsidRPr="002B5EB9">
        <w:rPr>
          <w:b/>
          <w:lang w:val="hy-AM"/>
        </w:rPr>
        <w:t>ՀՀ կառավարությանը չի հաջողվել ապահովել գործարար միջավայրի բարձր գրավչություն:</w:t>
      </w:r>
      <w:r w:rsidR="00F04829">
        <w:rPr>
          <w:b/>
          <w:lang w:val="hy-AM"/>
        </w:rPr>
        <w:t xml:space="preserve"> </w:t>
      </w:r>
      <w:r w:rsidR="008E3735">
        <w:rPr>
          <w:lang w:val="hy-AM"/>
        </w:rPr>
        <w:t>Գործարար միջավայրի վրա պետական քաղաքականության ազդեցությունը կարելի է գնահատել «Գործարարությամբ</w:t>
      </w:r>
      <w:r w:rsidR="008E3735" w:rsidRPr="0000025D">
        <w:rPr>
          <w:lang w:val="hy-AM"/>
        </w:rPr>
        <w:t xml:space="preserve"> զբաղվելու դյուրինություն</w:t>
      </w:r>
      <w:r w:rsidR="008E3735">
        <w:rPr>
          <w:lang w:val="hy-AM"/>
        </w:rPr>
        <w:t>ը» ինդեքսի</w:t>
      </w:r>
      <w:r w:rsidR="008E3735">
        <w:rPr>
          <w:rStyle w:val="FootnoteReference"/>
          <w:lang w:val="hy-AM"/>
        </w:rPr>
        <w:footnoteReference w:id="17"/>
      </w:r>
      <w:r w:rsidR="008E3735">
        <w:rPr>
          <w:lang w:val="hy-AM"/>
        </w:rPr>
        <w:t xml:space="preserve"> միջոցով </w:t>
      </w:r>
      <w:r w:rsidR="008E3735" w:rsidRPr="00186240">
        <w:rPr>
          <w:lang w:val="hy-AM"/>
        </w:rPr>
        <w:t>(</w:t>
      </w:r>
      <w:r w:rsidR="008E3735">
        <w:rPr>
          <w:lang w:val="hy-AM"/>
        </w:rPr>
        <w:t>ինչին, ընդ որում, հղում է արվում նաև ՀՀ կառավարության 2019թ. ծրագրում</w:t>
      </w:r>
      <w:r w:rsidR="008E3735" w:rsidRPr="00186240">
        <w:rPr>
          <w:lang w:val="hy-AM"/>
        </w:rPr>
        <w:t>)</w:t>
      </w:r>
      <w:r w:rsidR="008E3735">
        <w:rPr>
          <w:lang w:val="hy-AM"/>
        </w:rPr>
        <w:t>: Այսպես,</w:t>
      </w:r>
      <w:r w:rsidR="008E3735" w:rsidRPr="00366CC6">
        <w:rPr>
          <w:lang w:val="hy-AM"/>
        </w:rPr>
        <w:t xml:space="preserve"> </w:t>
      </w:r>
      <w:r w:rsidR="008E3735">
        <w:rPr>
          <w:lang w:val="hy-AM"/>
        </w:rPr>
        <w:t>«Գործարարությամբ</w:t>
      </w:r>
      <w:r w:rsidR="008E3735" w:rsidRPr="0000025D">
        <w:rPr>
          <w:lang w:val="hy-AM"/>
        </w:rPr>
        <w:t xml:space="preserve"> զբաղվելու դյուրինություն</w:t>
      </w:r>
      <w:r w:rsidR="008E3735">
        <w:rPr>
          <w:lang w:val="hy-AM"/>
        </w:rPr>
        <w:t xml:space="preserve">ը» ինդեքսով Հայաստանը 2018-2020թթ. ընթացքում վատթարացրել է իր դիրքն աշխարհում` այլ երկրների համեմատ կորցնելով մրցակցային առավելությունները: Մասնավորապես, 2017թ. աշխարհում 38-րդ հորիզոնականը զբաղեցնելուց հետո 2018-ին ՀՀ դիրքն էապես թուլացել է, ինչի արդյունքում համաշխարհային սադղակում ՀՀ-ն հայտնվել է 47-րդ հորիզոնականում: 2019 թվականին, թեև նկատվել է դիրքային որոշ բարելավում </w:t>
      </w:r>
      <w:r w:rsidR="008E3735" w:rsidRPr="00186240">
        <w:rPr>
          <w:lang w:val="hy-AM"/>
        </w:rPr>
        <w:t>(</w:t>
      </w:r>
      <w:r w:rsidR="008E3735">
        <w:rPr>
          <w:lang w:val="hy-AM"/>
        </w:rPr>
        <w:t>41-րդ հորիզոնական</w:t>
      </w:r>
      <w:r w:rsidR="008E3735" w:rsidRPr="00186240">
        <w:rPr>
          <w:lang w:val="hy-AM"/>
        </w:rPr>
        <w:t>)</w:t>
      </w:r>
      <w:r w:rsidR="008E3735">
        <w:rPr>
          <w:lang w:val="hy-AM"/>
        </w:rPr>
        <w:t xml:space="preserve">, այդուհանդերձ 2020-ին կրկին Հայաստանը թուլացրել է իր դիրքերը` վերադառնալով 47-րդ հորիզոնականին: </w:t>
      </w:r>
      <w:r w:rsidR="008E3735" w:rsidRPr="00B6325B">
        <w:rPr>
          <w:b/>
          <w:lang w:val="hy-AM"/>
        </w:rPr>
        <w:t>Ըստ էության ստացվում է, որ</w:t>
      </w:r>
      <w:r w:rsidR="0019161F">
        <w:rPr>
          <w:b/>
          <w:lang w:val="hy-AM"/>
        </w:rPr>
        <w:t xml:space="preserve"> ՀՀ կառավարությունը ձախողել է մրցունակ և բարենպաստ </w:t>
      </w:r>
      <w:r w:rsidR="008E3735" w:rsidRPr="00B6325B">
        <w:rPr>
          <w:b/>
          <w:lang w:val="hy-AM"/>
        </w:rPr>
        <w:t xml:space="preserve">գործարար միջավայր </w:t>
      </w:r>
      <w:r w:rsidR="008E3735">
        <w:rPr>
          <w:b/>
          <w:lang w:val="hy-AM"/>
        </w:rPr>
        <w:t>ապահովելու նպատակադրումը</w:t>
      </w:r>
      <w:r w:rsidR="008E3735" w:rsidRPr="00B6325B">
        <w:rPr>
          <w:b/>
          <w:lang w:val="hy-AM"/>
        </w:rPr>
        <w:t xml:space="preserve">: </w:t>
      </w:r>
      <w:r w:rsidR="008E3735">
        <w:rPr>
          <w:b/>
          <w:lang w:val="hy-AM"/>
        </w:rPr>
        <w:t>Բ</w:t>
      </w:r>
      <w:r w:rsidR="008E3735" w:rsidRPr="00B6325B">
        <w:rPr>
          <w:b/>
          <w:lang w:val="hy-AM"/>
        </w:rPr>
        <w:t xml:space="preserve">նականաբար, այս արդյունքը </w:t>
      </w:r>
      <w:r w:rsidR="008E3735">
        <w:rPr>
          <w:b/>
          <w:lang w:val="hy-AM"/>
        </w:rPr>
        <w:t>չէր</w:t>
      </w:r>
      <w:r w:rsidR="008E3735" w:rsidRPr="00B6325B">
        <w:rPr>
          <w:b/>
          <w:lang w:val="hy-AM"/>
        </w:rPr>
        <w:t xml:space="preserve"> կարող դրականորեն ազդել </w:t>
      </w:r>
      <w:r w:rsidR="008E3735">
        <w:rPr>
          <w:b/>
          <w:lang w:val="hy-AM"/>
        </w:rPr>
        <w:t xml:space="preserve">ներքին և </w:t>
      </w:r>
      <w:r w:rsidR="008E3735" w:rsidRPr="00B6325B">
        <w:rPr>
          <w:b/>
          <w:lang w:val="hy-AM"/>
        </w:rPr>
        <w:t>օտարերկրյա ներդրումների ներգրավման և տնտեսության գրավչության բարձրացման վրա:</w:t>
      </w:r>
    </w:p>
    <w:p w14:paraId="50035E26" w14:textId="6A169868" w:rsidR="00F04829" w:rsidRDefault="002343A8" w:rsidP="008E3735">
      <w:pPr>
        <w:spacing w:before="240"/>
        <w:rPr>
          <w:b/>
          <w:lang w:val="hy-AM"/>
        </w:rPr>
      </w:pPr>
      <w:r w:rsidRPr="000912D9">
        <w:rPr>
          <w:b/>
          <w:lang w:val="hy-AM"/>
        </w:rPr>
        <w:t xml:space="preserve">Գործարար միջավայրի բարեփոխման քաղաքականության ձախողման արդյունքում </w:t>
      </w:r>
      <w:r w:rsidR="00117A8F">
        <w:rPr>
          <w:b/>
          <w:lang w:val="hy-AM"/>
        </w:rPr>
        <w:t>տուժել է նաև</w:t>
      </w:r>
      <w:r w:rsidRPr="000912D9">
        <w:rPr>
          <w:b/>
          <w:lang w:val="hy-AM"/>
        </w:rPr>
        <w:t xml:space="preserve"> ՓՄՁ խթանման </w:t>
      </w:r>
      <w:r w:rsidR="00117A8F">
        <w:rPr>
          <w:b/>
          <w:lang w:val="hy-AM"/>
        </w:rPr>
        <w:t>քաղաքականությունը</w:t>
      </w:r>
      <w:r w:rsidRPr="000912D9">
        <w:rPr>
          <w:b/>
          <w:lang w:val="hy-AM"/>
        </w:rPr>
        <w:t>:</w:t>
      </w:r>
      <w:r>
        <w:rPr>
          <w:lang w:val="hy-AM"/>
        </w:rPr>
        <w:t xml:space="preserve"> </w:t>
      </w:r>
      <w:r w:rsidRPr="0001033A">
        <w:rPr>
          <w:lang w:val="hy-AM"/>
        </w:rPr>
        <w:t xml:space="preserve">ՀՀ-ում </w:t>
      </w:r>
      <w:r w:rsidR="00103345" w:rsidRPr="008D325C">
        <w:rPr>
          <w:lang w:val="hy-AM"/>
        </w:rPr>
        <w:t xml:space="preserve">  </w:t>
      </w:r>
      <w:r>
        <w:rPr>
          <w:lang w:val="hy-AM"/>
        </w:rPr>
        <w:t xml:space="preserve">ՓՄՁ-ների </w:t>
      </w:r>
      <w:r w:rsidRPr="0001033A">
        <w:rPr>
          <w:lang w:val="hy-AM"/>
        </w:rPr>
        <w:t>մասնաբաժինը ՀՆԱ-ում</w:t>
      </w:r>
      <w:r>
        <w:rPr>
          <w:rStyle w:val="FootnoteReference"/>
          <w:lang w:val="hy-AM"/>
        </w:rPr>
        <w:footnoteReference w:id="18"/>
      </w:r>
      <w:r>
        <w:rPr>
          <w:lang w:val="hy-AM"/>
        </w:rPr>
        <w:t xml:space="preserve"> 2017 թվականին կազմել է 24.6</w:t>
      </w:r>
      <w:r w:rsidRPr="00186240">
        <w:rPr>
          <w:lang w:val="hy-AM"/>
        </w:rPr>
        <w:t xml:space="preserve">%, </w:t>
      </w:r>
      <w:r>
        <w:rPr>
          <w:lang w:val="hy-AM"/>
        </w:rPr>
        <w:t>ինչից հետո 2018-ին այն կրճատվել է 1.0 տոկոսային կետով և կազմել 23.6</w:t>
      </w:r>
      <w:r w:rsidRPr="00186240">
        <w:rPr>
          <w:lang w:val="hy-AM"/>
        </w:rPr>
        <w:t>%</w:t>
      </w:r>
      <w:r>
        <w:rPr>
          <w:lang w:val="hy-AM"/>
        </w:rPr>
        <w:t>: 2019 թվականին ցուցանիշը բարելավվել է և կազմել 26.0</w:t>
      </w:r>
      <w:r w:rsidRPr="00186240">
        <w:rPr>
          <w:lang w:val="hy-AM"/>
        </w:rPr>
        <w:t xml:space="preserve">%: </w:t>
      </w:r>
      <w:r>
        <w:rPr>
          <w:lang w:val="hy-AM"/>
        </w:rPr>
        <w:t>Ընդհանուր առմամբ 2017-ի համեմատ 2019-ի տարեվերջին</w:t>
      </w:r>
      <w:r w:rsidRPr="00C85AF4">
        <w:rPr>
          <w:rStyle w:val="FootnoteReference"/>
          <w:b/>
          <w:lang w:val="hy-AM"/>
        </w:rPr>
        <w:footnoteReference w:id="19"/>
      </w:r>
      <w:r>
        <w:rPr>
          <w:lang w:val="hy-AM"/>
        </w:rPr>
        <w:t xml:space="preserve"> ցուցանիշի բարելավումը կազմել է 1.4 տոկոսային կետ, ինչ</w:t>
      </w:r>
      <w:r w:rsidR="00103345" w:rsidRPr="008D325C">
        <w:rPr>
          <w:lang w:val="hy-AM"/>
        </w:rPr>
        <w:t>ը,</w:t>
      </w:r>
      <w:r>
        <w:rPr>
          <w:lang w:val="hy-AM"/>
        </w:rPr>
        <w:t xml:space="preserve"> իհարկե</w:t>
      </w:r>
      <w:r w:rsidR="00103345" w:rsidRPr="008D325C">
        <w:rPr>
          <w:lang w:val="hy-AM"/>
        </w:rPr>
        <w:t>,</w:t>
      </w:r>
      <w:r>
        <w:rPr>
          <w:lang w:val="hy-AM"/>
        </w:rPr>
        <w:t xml:space="preserve"> դրական առաջընթաց է: Այդուհանդերձ, հաշվի առնելով 2020-ի բացասական զարգացումները, ինչպես նաև հետճգնաժամային շրջանում տնտեսության վերականգնման թույլ տեմպերը</w:t>
      </w:r>
      <w:r w:rsidR="00103345" w:rsidRPr="008D325C">
        <w:rPr>
          <w:lang w:val="hy-AM"/>
        </w:rPr>
        <w:t>,</w:t>
      </w:r>
      <w:r>
        <w:rPr>
          <w:lang w:val="hy-AM"/>
        </w:rPr>
        <w:t xml:space="preserve"> այս մասով 2020</w:t>
      </w:r>
      <w:r w:rsidR="00025B7F">
        <w:rPr>
          <w:lang w:val="hy-AM"/>
        </w:rPr>
        <w:t>-ից</w:t>
      </w:r>
      <w:r>
        <w:rPr>
          <w:lang w:val="hy-AM"/>
        </w:rPr>
        <w:t xml:space="preserve"> ի վեր էական </w:t>
      </w:r>
      <w:r>
        <w:rPr>
          <w:lang w:val="hy-AM"/>
        </w:rPr>
        <w:lastRenderedPageBreak/>
        <w:t xml:space="preserve">առաջընթաց դժվար թե գրանցված լինի: Ավելի շուտ հավանական է, որ ինչպես տնտեսության մյուս ոլորտներում, այստեղ ևս գրանցվել են անկումներ: </w:t>
      </w:r>
      <w:r w:rsidR="00A21BF9">
        <w:rPr>
          <w:b/>
          <w:lang w:val="hy-AM"/>
        </w:rPr>
        <w:t>Ստացվում է</w:t>
      </w:r>
      <w:r w:rsidRPr="00104EA1">
        <w:rPr>
          <w:b/>
          <w:lang w:val="hy-AM"/>
        </w:rPr>
        <w:t xml:space="preserve">, որ ՓՄՁ </w:t>
      </w:r>
      <w:r w:rsidR="006476F3">
        <w:rPr>
          <w:b/>
          <w:lang w:val="hy-AM"/>
        </w:rPr>
        <w:t xml:space="preserve">զարգացման </w:t>
      </w:r>
      <w:r w:rsidR="00A21BF9">
        <w:rPr>
          <w:b/>
          <w:lang w:val="hy-AM"/>
        </w:rPr>
        <w:t>հարցում</w:t>
      </w:r>
      <w:r w:rsidRPr="00104EA1">
        <w:rPr>
          <w:b/>
          <w:lang w:val="hy-AM"/>
        </w:rPr>
        <w:t xml:space="preserve"> ՀՀ կառավարություն</w:t>
      </w:r>
      <w:r>
        <w:rPr>
          <w:b/>
          <w:lang w:val="hy-AM"/>
        </w:rPr>
        <w:t>ն</w:t>
      </w:r>
      <w:r w:rsidRPr="00104EA1">
        <w:rPr>
          <w:b/>
          <w:lang w:val="hy-AM"/>
        </w:rPr>
        <w:t xml:space="preserve"> էական հաջողությունների չի հասել</w:t>
      </w:r>
      <w:r>
        <w:rPr>
          <w:b/>
          <w:lang w:val="hy-AM"/>
        </w:rPr>
        <w:t xml:space="preserve">` այդպիսով </w:t>
      </w:r>
      <w:r w:rsidR="00A21BF9">
        <w:rPr>
          <w:b/>
          <w:lang w:val="hy-AM"/>
        </w:rPr>
        <w:t>նվազեցնելով</w:t>
      </w:r>
      <w:r>
        <w:rPr>
          <w:b/>
          <w:lang w:val="hy-AM"/>
        </w:rPr>
        <w:t xml:space="preserve"> </w:t>
      </w:r>
      <w:r w:rsidR="006476F3">
        <w:rPr>
          <w:b/>
          <w:lang w:val="hy-AM"/>
        </w:rPr>
        <w:t xml:space="preserve">մի կողմից </w:t>
      </w:r>
      <w:r>
        <w:rPr>
          <w:b/>
          <w:lang w:val="hy-AM"/>
        </w:rPr>
        <w:t xml:space="preserve">մասնավոր ներքին ներդրումների խթանման </w:t>
      </w:r>
      <w:r w:rsidR="00A21BF9">
        <w:rPr>
          <w:b/>
          <w:lang w:val="hy-AM"/>
        </w:rPr>
        <w:t>քաղաքականության արդյունավետությունը</w:t>
      </w:r>
      <w:r w:rsidR="006476F3">
        <w:rPr>
          <w:b/>
          <w:lang w:val="hy-AM"/>
        </w:rPr>
        <w:t>, մյուս կողմից` չլուծելով տնտեսական աճի ներառականության խնդիրը</w:t>
      </w:r>
      <w:r>
        <w:rPr>
          <w:b/>
          <w:lang w:val="hy-AM"/>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0D8BC0E7" w14:textId="77777777" w:rsidTr="00FC2CE7">
        <w:tc>
          <w:tcPr>
            <w:tcW w:w="9062" w:type="dxa"/>
            <w:shd w:val="clear" w:color="auto" w:fill="EDEDED" w:themeFill="accent3" w:themeFillTint="33"/>
          </w:tcPr>
          <w:p w14:paraId="5FEF1A57" w14:textId="77777777" w:rsidR="008E3735" w:rsidRPr="00670A1A" w:rsidRDefault="008E3735" w:rsidP="00FC2CE7">
            <w:pPr>
              <w:spacing w:before="60" w:after="60" w:line="276" w:lineRule="auto"/>
              <w:jc w:val="center"/>
              <w:rPr>
                <w:color w:val="00B0F0"/>
                <w:sz w:val="22"/>
                <w:lang w:val="hy-AM"/>
              </w:rPr>
            </w:pPr>
            <w:r w:rsidRPr="00670A1A">
              <w:rPr>
                <w:color w:val="00B0F0"/>
                <w:sz w:val="22"/>
                <w:lang w:val="hy-AM"/>
              </w:rPr>
              <w:t>ՀՀ կառավարության 2021թ. ծրագիր</w:t>
            </w:r>
          </w:p>
          <w:p w14:paraId="27649466" w14:textId="597A77B4" w:rsidR="008E3735" w:rsidRDefault="008E3735" w:rsidP="008E3735">
            <w:pPr>
              <w:pStyle w:val="ListParagraph"/>
              <w:numPr>
                <w:ilvl w:val="0"/>
                <w:numId w:val="13"/>
              </w:numPr>
              <w:spacing w:before="60" w:after="60" w:line="276" w:lineRule="auto"/>
              <w:ind w:left="318" w:hanging="284"/>
              <w:rPr>
                <w:sz w:val="20"/>
                <w:lang w:val="hy-AM"/>
              </w:rPr>
            </w:pPr>
            <w:r w:rsidRPr="004E3178">
              <w:rPr>
                <w:sz w:val="20"/>
                <w:lang w:val="hy-AM"/>
              </w:rPr>
              <w:t xml:space="preserve">Ներդրումների ծավալների և համատարած արտադրողականության աճը կարող է տեղի ունենալ </w:t>
            </w:r>
            <w:r w:rsidRPr="004E3178">
              <w:rPr>
                <w:b/>
                <w:sz w:val="20"/>
                <w:lang w:val="hy-AM"/>
              </w:rPr>
              <w:t>բարենպաստ գործարար և ներդրումային միջավայրի առկայության պայմաններում</w:t>
            </w:r>
            <w:r>
              <w:rPr>
                <w:sz w:val="20"/>
                <w:lang w:val="hy-AM"/>
              </w:rPr>
              <w:t>:</w:t>
            </w:r>
          </w:p>
          <w:p w14:paraId="72D26C25" w14:textId="059DD209" w:rsidR="00111210" w:rsidRPr="003E76E2" w:rsidRDefault="00E40F6D" w:rsidP="008E3735">
            <w:pPr>
              <w:pStyle w:val="ListParagraph"/>
              <w:numPr>
                <w:ilvl w:val="0"/>
                <w:numId w:val="13"/>
              </w:numPr>
              <w:spacing w:before="60" w:after="60" w:line="276" w:lineRule="auto"/>
              <w:ind w:left="318" w:hanging="284"/>
              <w:rPr>
                <w:sz w:val="20"/>
                <w:lang w:val="hy-AM"/>
              </w:rPr>
            </w:pPr>
            <w:r w:rsidRPr="009F77CB">
              <w:rPr>
                <w:sz w:val="20"/>
                <w:lang w:val="hy-AM"/>
              </w:rPr>
              <w:t>Ներառական տնտեսության տեսանկյունից ՓՄՁ–ների դերի մեծացման հրամայականից ելնելով՝ Կառավարությունը ակտիվորեն աջակցելու է ՓՄՁ–ների զարգացմանը՝</w:t>
            </w:r>
            <w:r w:rsidRPr="009F77CB">
              <w:rPr>
                <w:b/>
                <w:sz w:val="20"/>
                <w:lang w:val="hy-AM"/>
              </w:rPr>
              <w:t xml:space="preserve"> </w:t>
            </w:r>
            <w:r w:rsidRPr="009F77CB">
              <w:rPr>
                <w:sz w:val="20"/>
                <w:lang w:val="hy-AM"/>
              </w:rPr>
              <w:t xml:space="preserve">5 տարիների ընթացքում </w:t>
            </w:r>
            <w:r w:rsidRPr="009F77CB">
              <w:rPr>
                <w:b/>
                <w:sz w:val="20"/>
                <w:lang w:val="hy-AM"/>
              </w:rPr>
              <w:t>ՓՄՁ–ների մասնաբաժինը ՀՆԱ–ում հասցնելով 55%–ի</w:t>
            </w:r>
            <w:r w:rsidRPr="009F77CB">
              <w:rPr>
                <w:sz w:val="20"/>
                <w:lang w:val="hy-AM"/>
              </w:rPr>
              <w:t>։</w:t>
            </w:r>
          </w:p>
        </w:tc>
      </w:tr>
    </w:tbl>
    <w:p w14:paraId="45742254" w14:textId="7FE1CFDA" w:rsidR="008E3735" w:rsidRDefault="008E3735" w:rsidP="008E3735">
      <w:pPr>
        <w:spacing w:before="240"/>
        <w:rPr>
          <w:b/>
          <w:lang w:val="hy-AM"/>
        </w:rPr>
      </w:pPr>
      <w:r>
        <w:rPr>
          <w:lang w:val="hy-AM"/>
        </w:rPr>
        <w:t xml:space="preserve">Ինչպես տեսնում ենք, 2021թ. ծրագրում ՀՀ կառավարությունը կրկին թիրախավորում է բարենպաստ գործարար միջավայրի ապահովումը` այն կապելով ներքին և օտարերկրյա մասնավոր ներդրումների խթանման թիրախի հետ: Այդուհանդերձ, </w:t>
      </w:r>
      <w:r w:rsidRPr="001E2A2B">
        <w:rPr>
          <w:b/>
          <w:lang w:val="hy-AM"/>
        </w:rPr>
        <w:t>ՀՀ կառավարությունը չի ներկայացնում, թե կոնկրետ ինչ մեխանիզմների և միջոցառումների միջոցով է ապահովելու գործարարությամբ զբաղվելու համար անհրաժեշտ բարենպաստ միջավայրը</w:t>
      </w:r>
      <w:r w:rsidR="00103345" w:rsidRPr="008D325C">
        <w:rPr>
          <w:b/>
          <w:lang w:val="hy-AM"/>
        </w:rPr>
        <w:t>,</w:t>
      </w:r>
      <w:r w:rsidRPr="001E2A2B">
        <w:rPr>
          <w:b/>
          <w:lang w:val="hy-AM"/>
        </w:rPr>
        <w:t xml:space="preserve"> ինչը նվազեցնում է խոստման իրատեսականությունը, առավել ևս, երբ գործ ունենք նախորդ տարիներին այս մասով ձախողած քաղաքականության փորձի հետ:</w:t>
      </w:r>
    </w:p>
    <w:p w14:paraId="57A04DE9" w14:textId="27ADD677" w:rsidR="008E3735" w:rsidRPr="006A2A8E" w:rsidRDefault="00F839E5" w:rsidP="009D4A3C">
      <w:pPr>
        <w:spacing w:before="240"/>
        <w:rPr>
          <w:b/>
          <w:lang w:val="hy-AM"/>
        </w:rPr>
      </w:pPr>
      <w:r>
        <w:rPr>
          <w:lang w:val="hy-AM"/>
        </w:rPr>
        <w:t>ՓՄՁ զարգացման մասով թ</w:t>
      </w:r>
      <w:r w:rsidRPr="00994A4D">
        <w:rPr>
          <w:lang w:val="hy-AM"/>
        </w:rPr>
        <w:t xml:space="preserve">եև կարելի է դրական գնահատել </w:t>
      </w:r>
      <w:r>
        <w:rPr>
          <w:lang w:val="hy-AM"/>
        </w:rPr>
        <w:t>դրանց</w:t>
      </w:r>
      <w:r w:rsidRPr="00994A4D">
        <w:rPr>
          <w:lang w:val="hy-AM"/>
        </w:rPr>
        <w:t xml:space="preserve"> մասնաբաժինը ՀՆԱ-ում ընդլայնելու ՀՀ կառավարության պատրաստակամությունը, այդուհանդերձ,</w:t>
      </w:r>
      <w:r w:rsidRPr="003F7FD9">
        <w:rPr>
          <w:b/>
          <w:lang w:val="hy-AM"/>
        </w:rPr>
        <w:t xml:space="preserve"> ներկայացված թիրախը` 55</w:t>
      </w:r>
      <w:r w:rsidRPr="00186240">
        <w:rPr>
          <w:b/>
          <w:lang w:val="hy-AM"/>
        </w:rPr>
        <w:t>%</w:t>
      </w:r>
      <w:r w:rsidRPr="003F7FD9">
        <w:rPr>
          <w:b/>
          <w:lang w:val="hy-AM"/>
        </w:rPr>
        <w:t>, չափազանց հավակնոտ է և նշանակում է, որ առաջիկա հինգ տարիներին ՓՄՁ մասնաբաժինը ընդհանուր տնտեսական արդյունքի ստեղծման գործընթացում պետք է կրկնապատկվի:</w:t>
      </w:r>
      <w:r w:rsidR="00D4483A">
        <w:rPr>
          <w:b/>
          <w:lang w:val="hy-AM"/>
        </w:rPr>
        <w:t xml:space="preserve"> </w:t>
      </w:r>
      <w:r>
        <w:rPr>
          <w:lang w:val="hy-AM"/>
        </w:rPr>
        <w:t>Իհարկե, այդպիսով էականորեն կապահովվի մի կողմից տնտեսական աճի ներառականությունը, մյուս կողմից` ներքին ներդրումների խթանման հարցը, սակայն</w:t>
      </w:r>
      <w:r w:rsidR="00103345" w:rsidRPr="008D325C">
        <w:rPr>
          <w:lang w:val="hy-AM"/>
        </w:rPr>
        <w:t>,</w:t>
      </w:r>
      <w:r>
        <w:rPr>
          <w:lang w:val="hy-AM"/>
        </w:rPr>
        <w:t xml:space="preserve"> հաշվի առնելով </w:t>
      </w:r>
      <w:r w:rsidR="008408C4">
        <w:rPr>
          <w:lang w:val="hy-AM"/>
        </w:rPr>
        <w:t>վերջին տարիների արդյունքները</w:t>
      </w:r>
      <w:r w:rsidR="00103345" w:rsidRPr="008D325C">
        <w:rPr>
          <w:lang w:val="hy-AM"/>
        </w:rPr>
        <w:t>,</w:t>
      </w:r>
      <w:r>
        <w:rPr>
          <w:lang w:val="hy-AM"/>
        </w:rPr>
        <w:t xml:space="preserve"> դժվար է պատկերացնել առաջիկա հինգ տարիներին ցուցանիշի միջին</w:t>
      </w:r>
      <w:r w:rsidR="00103345" w:rsidRPr="008D325C">
        <w:rPr>
          <w:lang w:val="hy-AM"/>
        </w:rPr>
        <w:t xml:space="preserve"> հաշվով</w:t>
      </w:r>
      <w:r>
        <w:rPr>
          <w:lang w:val="hy-AM"/>
        </w:rPr>
        <w:t xml:space="preserve"> տարեկան մոտ 6.0 տոկոսային կետով բարելավում, ինչն անհրաժեշտ կլինի ՀՀ կառավարության 2021թ. ծրագրում նշված թիրախն ապահովելու համար: </w:t>
      </w:r>
      <w:r w:rsidRPr="00A2677A">
        <w:rPr>
          <w:b/>
          <w:lang w:val="hy-AM"/>
        </w:rPr>
        <w:t xml:space="preserve">Ավելին, նման լավատեսական և հավակնոտ թիրախի ընտրման պայմաններում դրա ձախողումը </w:t>
      </w:r>
      <w:r w:rsidR="00391534">
        <w:rPr>
          <w:b/>
          <w:lang w:val="hy-AM"/>
        </w:rPr>
        <w:t>բացասաբար կազդի</w:t>
      </w:r>
      <w:r w:rsidRPr="00A2677A">
        <w:rPr>
          <w:b/>
          <w:lang w:val="hy-AM"/>
        </w:rPr>
        <w:t xml:space="preserve"> առաջիկա տարիներին տնտեսական աճի քաղաքականության </w:t>
      </w:r>
      <w:r w:rsidR="00391534">
        <w:rPr>
          <w:b/>
          <w:lang w:val="hy-AM"/>
        </w:rPr>
        <w:t>վրա</w:t>
      </w:r>
      <w:r w:rsidRPr="00A2677A">
        <w:rPr>
          <w:b/>
          <w:lang w:val="hy-AM"/>
        </w:rPr>
        <w:t>:</w:t>
      </w:r>
    </w:p>
    <w:p w14:paraId="3BD9DB02" w14:textId="77777777" w:rsidR="008E3735" w:rsidRPr="003B29C8" w:rsidRDefault="008E3735" w:rsidP="00A83257">
      <w:pPr>
        <w:pStyle w:val="Heading2"/>
      </w:pPr>
      <w:bookmarkStart w:id="6" w:name="_Toc88138978"/>
      <w:r w:rsidRPr="003B29C8">
        <w:lastRenderedPageBreak/>
        <w:t>2.2. Արտահանումը` տնտեսական աճի հիմնական շարժիչ</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2E1E3EEA" w14:textId="77777777" w:rsidTr="00FC2CE7">
        <w:tc>
          <w:tcPr>
            <w:tcW w:w="9062" w:type="dxa"/>
            <w:shd w:val="clear" w:color="auto" w:fill="EDEDED" w:themeFill="accent3" w:themeFillTint="33"/>
          </w:tcPr>
          <w:p w14:paraId="2FB39CC4" w14:textId="77777777" w:rsidR="008E3735" w:rsidRPr="003B29C8" w:rsidRDefault="008E3735" w:rsidP="00FC2CE7">
            <w:pPr>
              <w:spacing w:before="60" w:after="60" w:line="276" w:lineRule="auto"/>
              <w:jc w:val="center"/>
              <w:rPr>
                <w:color w:val="00B3C4"/>
                <w:sz w:val="22"/>
                <w:lang w:val="hy-AM"/>
              </w:rPr>
            </w:pPr>
            <w:r w:rsidRPr="003B29C8">
              <w:rPr>
                <w:color w:val="00B3C4"/>
                <w:sz w:val="22"/>
                <w:lang w:val="hy-AM"/>
              </w:rPr>
              <w:t>ՀՀ կառավարության 2019թ. ծրագիր</w:t>
            </w:r>
          </w:p>
          <w:p w14:paraId="1891D828" w14:textId="77777777" w:rsidR="008E3735" w:rsidRPr="00186240" w:rsidRDefault="008E3735" w:rsidP="008E3735">
            <w:pPr>
              <w:pStyle w:val="ListParagraph"/>
              <w:numPr>
                <w:ilvl w:val="0"/>
                <w:numId w:val="13"/>
              </w:numPr>
              <w:spacing w:before="60" w:after="60" w:line="276" w:lineRule="auto"/>
              <w:ind w:left="318" w:hanging="284"/>
              <w:rPr>
                <w:sz w:val="20"/>
                <w:lang w:val="hy-AM"/>
              </w:rPr>
            </w:pPr>
            <w:r w:rsidRPr="00EC3E22">
              <w:rPr>
                <w:sz w:val="20"/>
                <w:lang w:val="hy-AM"/>
              </w:rPr>
              <w:t xml:space="preserve">Ապրանքների և ծառայությունների արտահանման զգալի աճը պետք է դառնա Հայաստանի տնտեսական առաջընթացի հիմնական շարժիչը: Ծրագրային ժամանակահատվածի ավարտին </w:t>
            </w:r>
            <w:r w:rsidRPr="00EC3E22">
              <w:rPr>
                <w:b/>
                <w:sz w:val="20"/>
                <w:lang w:val="hy-AM"/>
              </w:rPr>
              <w:t>ապրանքների և ծառայությունների արտահանումը ՀՆԱ-ի նկատմամբ պետք է հասնի 43-45%-ի</w:t>
            </w:r>
            <w:r w:rsidRPr="00EC3E22">
              <w:rPr>
                <w:sz w:val="20"/>
                <w:lang w:val="hy-AM"/>
              </w:rPr>
              <w:t xml:space="preserve">: </w:t>
            </w:r>
          </w:p>
        </w:tc>
      </w:tr>
    </w:tbl>
    <w:p w14:paraId="60C269F0" w14:textId="37B20D7F" w:rsidR="008E3735" w:rsidRDefault="008E3735" w:rsidP="008E3735">
      <w:pPr>
        <w:spacing w:before="240"/>
        <w:rPr>
          <w:lang w:val="hy-AM"/>
        </w:rPr>
      </w:pPr>
      <w:r w:rsidRPr="0056581E">
        <w:rPr>
          <w:b/>
          <w:lang w:val="hy-AM"/>
        </w:rPr>
        <w:t>Ի</w:t>
      </w:r>
      <w:r w:rsidRPr="00D65CF8">
        <w:rPr>
          <w:b/>
          <w:lang w:val="hy-AM"/>
        </w:rPr>
        <w:t>նչպես ներդրումների, այնպես էլ արտահանման պարագայում ՀՀ կառավարությունը ձախողել է տնտեսական քաղաքականությունը:</w:t>
      </w:r>
      <w:r>
        <w:rPr>
          <w:lang w:val="hy-AM"/>
        </w:rPr>
        <w:t xml:space="preserve"> 2016-2017թթ. </w:t>
      </w:r>
      <w:r w:rsidR="004E7AA1">
        <w:rPr>
          <w:lang w:val="hy-AM"/>
        </w:rPr>
        <w:t xml:space="preserve">ապրանքների և ծառայությունների </w:t>
      </w:r>
      <w:r>
        <w:rPr>
          <w:lang w:val="hy-AM"/>
        </w:rPr>
        <w:t xml:space="preserve">արտահանման բարձր աճերից հետո </w:t>
      </w:r>
      <w:r w:rsidRPr="00186240">
        <w:rPr>
          <w:lang w:val="hy-AM"/>
        </w:rPr>
        <w:t>(</w:t>
      </w:r>
      <w:r>
        <w:rPr>
          <w:lang w:val="hy-AM"/>
        </w:rPr>
        <w:t>համապատասխանաբար</w:t>
      </w:r>
      <w:r w:rsidRPr="00186240">
        <w:rPr>
          <w:lang w:val="hy-AM"/>
        </w:rPr>
        <w:t>`</w:t>
      </w:r>
      <w:r>
        <w:rPr>
          <w:lang w:val="hy-AM"/>
        </w:rPr>
        <w:t xml:space="preserve"> 21.3</w:t>
      </w:r>
      <w:r w:rsidRPr="00186240">
        <w:rPr>
          <w:lang w:val="hy-AM"/>
        </w:rPr>
        <w:t xml:space="preserve">% </w:t>
      </w:r>
      <w:r>
        <w:rPr>
          <w:lang w:val="hy-AM"/>
        </w:rPr>
        <w:t>և 19.3</w:t>
      </w:r>
      <w:r w:rsidRPr="00186240">
        <w:rPr>
          <w:lang w:val="hy-AM"/>
        </w:rPr>
        <w:t>%) 2018</w:t>
      </w:r>
      <w:r>
        <w:rPr>
          <w:lang w:val="hy-AM"/>
        </w:rPr>
        <w:t>թ. արտահանման աճի տեմպը դանդաղել է շուրջ 4 անգամ` կազմելով ընդամենը 5.0</w:t>
      </w:r>
      <w:r w:rsidRPr="00186240">
        <w:rPr>
          <w:lang w:val="hy-AM"/>
        </w:rPr>
        <w:t xml:space="preserve">%: </w:t>
      </w:r>
      <w:r>
        <w:rPr>
          <w:lang w:val="hy-AM"/>
        </w:rPr>
        <w:t xml:space="preserve">Ընդ որում, 2018թ. առաջին եռամսյակում </w:t>
      </w:r>
      <w:r w:rsidRPr="00186240">
        <w:rPr>
          <w:lang w:val="hy-AM"/>
        </w:rPr>
        <w:t>(</w:t>
      </w:r>
      <w:r>
        <w:rPr>
          <w:lang w:val="hy-AM"/>
        </w:rPr>
        <w:t>մինչև իշխանափոխությունը</w:t>
      </w:r>
      <w:r w:rsidRPr="00186240">
        <w:rPr>
          <w:lang w:val="hy-AM"/>
        </w:rPr>
        <w:t>)</w:t>
      </w:r>
      <w:r>
        <w:rPr>
          <w:lang w:val="hy-AM"/>
        </w:rPr>
        <w:t xml:space="preserve"> նախորդ տարվա համապատասխան ժամանակահատվածի համեմատ արտահանման ծավալներն աճել են 17</w:t>
      </w:r>
      <w:r w:rsidRPr="00186240">
        <w:rPr>
          <w:lang w:val="hy-AM"/>
        </w:rPr>
        <w:t>%</w:t>
      </w:r>
      <w:r>
        <w:rPr>
          <w:lang w:val="hy-AM"/>
        </w:rPr>
        <w:t xml:space="preserve">-ով, և 2018թ. տարեկան արդյունքներով գրանցված փոքր աճը </w:t>
      </w:r>
      <w:r w:rsidR="00A21EDC">
        <w:rPr>
          <w:lang w:val="hy-AM"/>
        </w:rPr>
        <w:t>իշխանափոխությունից հետո</w:t>
      </w:r>
      <w:r>
        <w:rPr>
          <w:lang w:val="hy-AM"/>
        </w:rPr>
        <w:t xml:space="preserve"> գրանցված աճի </w:t>
      </w:r>
      <w:r w:rsidR="00730A4D">
        <w:rPr>
          <w:lang w:val="hy-AM"/>
        </w:rPr>
        <w:t xml:space="preserve">տեմպի </w:t>
      </w:r>
      <w:r>
        <w:rPr>
          <w:lang w:val="hy-AM"/>
        </w:rPr>
        <w:t>դանդաղման արդյունք է: 2019թ. արտահանման ծավալներն աճել են 16.0</w:t>
      </w:r>
      <w:r w:rsidRPr="00186240">
        <w:rPr>
          <w:lang w:val="hy-AM"/>
        </w:rPr>
        <w:t>%-</w:t>
      </w:r>
      <w:r>
        <w:rPr>
          <w:lang w:val="hy-AM"/>
        </w:rPr>
        <w:t xml:space="preserve">ով, այսինքն 2017 թվականի համեմատ արտահանման աճի տեմպը դանդաղել է շուրջ 3.3 տոկոսային կետով: </w:t>
      </w:r>
    </w:p>
    <w:p w14:paraId="1D670637" w14:textId="273D902B" w:rsidR="008E3735" w:rsidRDefault="008E3735" w:rsidP="008E3735">
      <w:pPr>
        <w:spacing w:before="240"/>
        <w:rPr>
          <w:lang w:val="hy-AM"/>
        </w:rPr>
      </w:pPr>
      <w:r>
        <w:rPr>
          <w:lang w:val="hy-AM"/>
        </w:rPr>
        <w:t>2020 թվականին գրանցվել է արտահանման խոր անկում` շուրջ 33.4</w:t>
      </w:r>
      <w:r w:rsidRPr="00186240">
        <w:rPr>
          <w:lang w:val="hy-AM"/>
        </w:rPr>
        <w:t>%-</w:t>
      </w:r>
      <w:r>
        <w:rPr>
          <w:lang w:val="hy-AM"/>
        </w:rPr>
        <w:t>ով` ավելի վատթարացնելով տնտեսական աճի կառուցվածքային բարելավման հեռանկարները: Ընդ որում, պատկերը շարունակում է բացասական մնալ նաև 2021-ին` 2021թ. առաջին կիսամյակում նախորդ տարվա համապատասխան ժամանակահատվածի համեմատ գրանցվել է արտահանման 4.9</w:t>
      </w:r>
      <w:r w:rsidRPr="00186240">
        <w:rPr>
          <w:lang w:val="hy-AM"/>
        </w:rPr>
        <w:t xml:space="preserve">% </w:t>
      </w:r>
      <w:r>
        <w:rPr>
          <w:lang w:val="hy-AM"/>
        </w:rPr>
        <w:t xml:space="preserve">անկում: </w:t>
      </w:r>
    </w:p>
    <w:p w14:paraId="14662049" w14:textId="7CF4FD0F" w:rsidR="008E3735" w:rsidRDefault="008E3735" w:rsidP="008E3735">
      <w:pPr>
        <w:spacing w:before="240"/>
        <w:rPr>
          <w:lang w:val="hy-AM"/>
        </w:rPr>
      </w:pPr>
      <w:r>
        <w:rPr>
          <w:lang w:val="hy-AM"/>
        </w:rPr>
        <w:t>Արդյունքում</w:t>
      </w:r>
      <w:r w:rsidR="00103345" w:rsidRPr="008D325C">
        <w:rPr>
          <w:lang w:val="hy-AM"/>
        </w:rPr>
        <w:t>,</w:t>
      </w:r>
      <w:r>
        <w:rPr>
          <w:lang w:val="hy-AM"/>
        </w:rPr>
        <w:t xml:space="preserve"> արտահանման կշիռը ՀՆԱ-ում 2018 և 2019 թվականներին բարելավվել է համապատասխանաբար ընդամենը 1.2 և 2.0 տոկոսային կետով, իսկ 2020 թվականին` առանց այդ էլ ՀՆԱ-ի խոր անկման պայմաններում</w:t>
      </w:r>
      <w:r w:rsidR="00440B0C" w:rsidRPr="008D325C">
        <w:rPr>
          <w:lang w:val="hy-AM"/>
        </w:rPr>
        <w:t>,</w:t>
      </w:r>
      <w:r>
        <w:rPr>
          <w:lang w:val="hy-AM"/>
        </w:rPr>
        <w:t xml:space="preserve"> կրճատվել է շուրջ 11.6 տոկոսային կետով` կազմելով 29.8</w:t>
      </w:r>
      <w:r w:rsidRPr="00186240">
        <w:rPr>
          <w:lang w:val="hy-AM"/>
        </w:rPr>
        <w:t xml:space="preserve">%, </w:t>
      </w:r>
      <w:r>
        <w:rPr>
          <w:lang w:val="hy-AM"/>
        </w:rPr>
        <w:t xml:space="preserve">ինչը ցածր է ՀՀ կառավարության ծրագրային թիրախից շուրջ 15.2 տոկոսային կետով: </w:t>
      </w:r>
    </w:p>
    <w:p w14:paraId="2CF13BC1" w14:textId="52A1A408" w:rsidR="008E3735" w:rsidRPr="00266DCB" w:rsidRDefault="008E3735" w:rsidP="008E3735">
      <w:pPr>
        <w:spacing w:before="240"/>
        <w:rPr>
          <w:b/>
          <w:lang w:val="hy-AM"/>
        </w:rPr>
      </w:pPr>
      <w:r w:rsidRPr="00266DCB">
        <w:rPr>
          <w:b/>
          <w:lang w:val="hy-AM"/>
        </w:rPr>
        <w:t>Ստացվում է, որ ՀՀ կառավարությունը ձախողել է տնտեսության արտահանելի հատվածի խթանման քաղաքականությունը, իսկ իրավիճակի բարելավում չի նկատվում նույնիսկ 2021 թվականին</w:t>
      </w:r>
      <w:r w:rsidR="0084015E">
        <w:rPr>
          <w:b/>
          <w:lang w:val="hy-AM"/>
        </w:rPr>
        <w:t>:</w:t>
      </w:r>
      <w:r w:rsidRPr="00266DCB">
        <w:rPr>
          <w:b/>
          <w:lang w:val="hy-AM"/>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48655147" w14:textId="77777777" w:rsidTr="00FC2CE7">
        <w:tc>
          <w:tcPr>
            <w:tcW w:w="9062" w:type="dxa"/>
            <w:shd w:val="clear" w:color="auto" w:fill="EDEDED" w:themeFill="accent3" w:themeFillTint="33"/>
          </w:tcPr>
          <w:p w14:paraId="3D8E2D89" w14:textId="77777777" w:rsidR="008E3735" w:rsidRPr="002E2329" w:rsidRDefault="008E3735" w:rsidP="00FC2CE7">
            <w:pPr>
              <w:spacing w:before="60" w:after="60" w:line="276" w:lineRule="auto"/>
              <w:jc w:val="center"/>
              <w:rPr>
                <w:color w:val="00B0F0"/>
                <w:sz w:val="22"/>
                <w:lang w:val="hy-AM"/>
              </w:rPr>
            </w:pPr>
            <w:r w:rsidRPr="002E2329">
              <w:rPr>
                <w:color w:val="00B0F0"/>
                <w:sz w:val="22"/>
                <w:lang w:val="hy-AM"/>
              </w:rPr>
              <w:t>ՀՀ կառավարության 2021թ. ծրագիր</w:t>
            </w:r>
          </w:p>
          <w:p w14:paraId="1275B31E" w14:textId="77777777" w:rsidR="008E3735" w:rsidRPr="00186240" w:rsidRDefault="008E3735" w:rsidP="008E3735">
            <w:pPr>
              <w:pStyle w:val="ListParagraph"/>
              <w:numPr>
                <w:ilvl w:val="0"/>
                <w:numId w:val="13"/>
              </w:numPr>
              <w:spacing w:before="60" w:after="60" w:line="276" w:lineRule="auto"/>
              <w:ind w:left="318" w:hanging="284"/>
              <w:rPr>
                <w:sz w:val="20"/>
                <w:lang w:val="hy-AM"/>
              </w:rPr>
            </w:pPr>
            <w:r w:rsidRPr="001E6F11">
              <w:rPr>
                <w:sz w:val="20"/>
                <w:lang w:val="hy-AM"/>
              </w:rPr>
              <w:t>Կառավարության տնտեսական քաղաքականության նպատակներից է արտահանումը խթանող պայմանների ապահովումն ու միջավայրի ձևավորումը: ... կառավարությունը քայլեր է ձեռնարկելու ... արտահանման խթանման ապահովման ու զարգացման ուղղությամբ:</w:t>
            </w:r>
          </w:p>
        </w:tc>
      </w:tr>
    </w:tbl>
    <w:p w14:paraId="01086C60" w14:textId="615745CC" w:rsidR="008E3735" w:rsidRDefault="008E3735" w:rsidP="008E3735">
      <w:pPr>
        <w:spacing w:before="240"/>
        <w:rPr>
          <w:lang w:val="hy-AM"/>
        </w:rPr>
      </w:pPr>
      <w:r>
        <w:rPr>
          <w:lang w:val="hy-AM"/>
        </w:rPr>
        <w:lastRenderedPageBreak/>
        <w:t>Ինչպես տեսնում ենք, ՀՀ կառավարության 2021թ. ծրագրում թվային արտահայտությամբ արտահանման վերաբերյալ որևէ կոնկրետ թիրախ նշված չէ, ինչը բավական անորոշ է դարձնում ՀՀ կառավարության արտահանման խթանման քաղաքականությունը: Այդուհանդերձ, ՀՀ կառավարության 2022-2024թթ. ՄԺԾԾ բարձր տնտեսական աճի սցենարում, որն ըստ էության կրկնում է ՀՀ կառավարության 2021թ. ծրագրի տնտեսական աճի քաղաքականության թիրախավորումը և այս իմաստով համադրելի է կառավարության ծրագրի նպատակների հետ` նշվում է, որ 2022-</w:t>
      </w:r>
      <w:r w:rsidRPr="005B5436">
        <w:rPr>
          <w:lang w:val="hy-AM"/>
        </w:rPr>
        <w:t>2026</w:t>
      </w:r>
      <w:r>
        <w:rPr>
          <w:lang w:val="hy-AM"/>
        </w:rPr>
        <w:t xml:space="preserve">թթ. </w:t>
      </w:r>
      <w:r w:rsidRPr="005B5436">
        <w:rPr>
          <w:lang w:val="hy-AM"/>
        </w:rPr>
        <w:t>միջին</w:t>
      </w:r>
      <w:r w:rsidR="00440B0C" w:rsidRPr="008D325C">
        <w:rPr>
          <w:lang w:val="hy-AM"/>
        </w:rPr>
        <w:t xml:space="preserve"> հաշվով</w:t>
      </w:r>
      <w:r w:rsidRPr="005B5436">
        <w:rPr>
          <w:lang w:val="hy-AM"/>
        </w:rPr>
        <w:t xml:space="preserve"> </w:t>
      </w:r>
      <w:r>
        <w:rPr>
          <w:lang w:val="hy-AM"/>
        </w:rPr>
        <w:t>տարեկան</w:t>
      </w:r>
      <w:r w:rsidRPr="005B5436">
        <w:rPr>
          <w:lang w:val="hy-AM"/>
        </w:rPr>
        <w:t xml:space="preserve"> 7.0% տնտեսական աճի ապահովման համար անհրաժեշտ է ապահովել</w:t>
      </w:r>
      <w:r>
        <w:rPr>
          <w:lang w:val="hy-AM"/>
        </w:rPr>
        <w:t xml:space="preserve"> </w:t>
      </w:r>
      <w:r w:rsidRPr="005B5436">
        <w:rPr>
          <w:lang w:val="hy-AM"/>
        </w:rPr>
        <w:t>արտահանման տարեկան միջին հաշվով 16</w:t>
      </w:r>
      <w:r w:rsidRPr="005B5436">
        <w:rPr>
          <w:rFonts w:ascii="Tahoma" w:hAnsi="Tahoma" w:cs="Tahoma"/>
          <w:lang w:val="hy-AM"/>
        </w:rPr>
        <w:t>․</w:t>
      </w:r>
      <w:r w:rsidRPr="005B5436">
        <w:rPr>
          <w:lang w:val="hy-AM"/>
        </w:rPr>
        <w:t>5% աճ</w:t>
      </w:r>
      <w:r>
        <w:rPr>
          <w:lang w:val="hy-AM"/>
        </w:rPr>
        <w:t>: Արդյունքում</w:t>
      </w:r>
      <w:r w:rsidRPr="005B5436">
        <w:rPr>
          <w:lang w:val="hy-AM"/>
        </w:rPr>
        <w:t xml:space="preserve"> 2026-ին 2021-ի համեմատ կբարելավ</w:t>
      </w:r>
      <w:r w:rsidR="00440B0C" w:rsidRPr="008D325C">
        <w:rPr>
          <w:lang w:val="hy-AM"/>
        </w:rPr>
        <w:t>վ</w:t>
      </w:r>
      <w:r w:rsidRPr="005B5436">
        <w:rPr>
          <w:lang w:val="hy-AM"/>
        </w:rPr>
        <w:t>ի արտահանման մակարդակը ՀՆԱ-ում 16</w:t>
      </w:r>
      <w:r w:rsidRPr="005B5436">
        <w:rPr>
          <w:rFonts w:ascii="Tahoma" w:hAnsi="Tahoma" w:cs="Tahoma"/>
          <w:lang w:val="hy-AM"/>
        </w:rPr>
        <w:t>․</w:t>
      </w:r>
      <w:r>
        <w:rPr>
          <w:lang w:val="hy-AM"/>
        </w:rPr>
        <w:t>4 տոկոս</w:t>
      </w:r>
      <w:r w:rsidRPr="005B5436">
        <w:rPr>
          <w:lang w:val="hy-AM"/>
        </w:rPr>
        <w:t>ային կետով</w:t>
      </w:r>
      <w:r>
        <w:rPr>
          <w:lang w:val="hy-AM"/>
        </w:rPr>
        <w:t>` այն հասցնելով 49.3</w:t>
      </w:r>
      <w:r w:rsidRPr="00186240">
        <w:rPr>
          <w:lang w:val="hy-AM"/>
        </w:rPr>
        <w:t>%-</w:t>
      </w:r>
      <w:r>
        <w:rPr>
          <w:lang w:val="hy-AM"/>
        </w:rPr>
        <w:t xml:space="preserve">ի: </w:t>
      </w:r>
    </w:p>
    <w:p w14:paraId="3B324B29" w14:textId="6EE04429" w:rsidR="008E3735" w:rsidRDefault="008E3735" w:rsidP="008E3735">
      <w:pPr>
        <w:spacing w:before="240"/>
        <w:rPr>
          <w:lang w:val="hy-AM"/>
        </w:rPr>
      </w:pPr>
      <w:r>
        <w:rPr>
          <w:lang w:val="hy-AM"/>
        </w:rPr>
        <w:t xml:space="preserve">Սակայն, </w:t>
      </w:r>
      <w:r w:rsidR="0051591E">
        <w:rPr>
          <w:lang w:val="hy-AM"/>
        </w:rPr>
        <w:t>ՀՀ կառավարության</w:t>
      </w:r>
      <w:r>
        <w:rPr>
          <w:lang w:val="hy-AM"/>
        </w:rPr>
        <w:t xml:space="preserve"> կանխատեսումներով 2021-2024թթ.</w:t>
      </w:r>
      <w:r w:rsidR="0051591E">
        <w:rPr>
          <w:rStyle w:val="FootnoteReference"/>
          <w:lang w:val="hy-AM"/>
        </w:rPr>
        <w:footnoteReference w:id="20"/>
      </w:r>
      <w:r>
        <w:rPr>
          <w:lang w:val="hy-AM"/>
        </w:rPr>
        <w:t xml:space="preserve"> արտահանման ծավալների աճը կազմելու է </w:t>
      </w:r>
      <w:r w:rsidR="00440B0C">
        <w:rPr>
          <w:lang w:val="hy-AM"/>
        </w:rPr>
        <w:t>միջին հաշվով</w:t>
      </w:r>
      <w:r>
        <w:rPr>
          <w:lang w:val="hy-AM"/>
        </w:rPr>
        <w:t xml:space="preserve"> 9.</w:t>
      </w:r>
      <w:r w:rsidR="00A03C36">
        <w:rPr>
          <w:lang w:val="hy-AM"/>
        </w:rPr>
        <w:t>5</w:t>
      </w:r>
      <w:r w:rsidRPr="00186240">
        <w:rPr>
          <w:lang w:val="hy-AM"/>
        </w:rPr>
        <w:t xml:space="preserve">%, </w:t>
      </w:r>
      <w:r>
        <w:rPr>
          <w:lang w:val="hy-AM"/>
        </w:rPr>
        <w:t xml:space="preserve">ինչը </w:t>
      </w:r>
      <w:r w:rsidR="00756B78">
        <w:rPr>
          <w:lang w:val="hy-AM"/>
        </w:rPr>
        <w:t>շատ</w:t>
      </w:r>
      <w:r>
        <w:rPr>
          <w:lang w:val="hy-AM"/>
        </w:rPr>
        <w:t xml:space="preserve"> քիչ է թիրախային 16.5</w:t>
      </w:r>
      <w:r w:rsidRPr="00186240">
        <w:rPr>
          <w:lang w:val="hy-AM"/>
        </w:rPr>
        <w:t>%</w:t>
      </w:r>
      <w:r>
        <w:rPr>
          <w:lang w:val="hy-AM"/>
        </w:rPr>
        <w:t xml:space="preserve"> աճի ցուցանիշից: Ստացվում է, որ նման բարձր թիրախային աճ առաջիկա տարիներին, ինչպես ներդրումների պարագայում, այնպես էլ արտահանման դեպքում չի կանխատեսում հենց ՀՀ կառավարությունը: </w:t>
      </w:r>
      <w:r w:rsidRPr="00611625">
        <w:rPr>
          <w:b/>
          <w:lang w:val="hy-AM"/>
        </w:rPr>
        <w:t>Սա թույլ է տալիս պնդել, որ իրական ՀՆԱ-ի</w:t>
      </w:r>
      <w:r w:rsidRPr="00186240">
        <w:rPr>
          <w:b/>
          <w:lang w:val="hy-AM"/>
        </w:rPr>
        <w:t xml:space="preserve"> </w:t>
      </w:r>
      <w:r w:rsidR="00440B0C">
        <w:rPr>
          <w:b/>
          <w:lang w:val="hy-AM"/>
        </w:rPr>
        <w:t>միջին հաշվով</w:t>
      </w:r>
      <w:r w:rsidRPr="00611625">
        <w:rPr>
          <w:b/>
          <w:lang w:val="hy-AM"/>
        </w:rPr>
        <w:t xml:space="preserve"> տարեկան 7.0</w:t>
      </w:r>
      <w:r w:rsidRPr="00186240">
        <w:rPr>
          <w:b/>
          <w:lang w:val="hy-AM"/>
        </w:rPr>
        <w:t>%</w:t>
      </w:r>
      <w:r w:rsidRPr="00611625">
        <w:rPr>
          <w:b/>
          <w:lang w:val="hy-AM"/>
        </w:rPr>
        <w:t xml:space="preserve"> աճ ապահովելու համար անհրաժեշտ արտահանման քաղաքականության ՄԺԾ ծրագրային թիրախը անիրատեսական է և չափազանցված:</w:t>
      </w:r>
      <w:r>
        <w:rPr>
          <w:lang w:val="hy-AM"/>
        </w:rPr>
        <w:t xml:space="preserve"> </w:t>
      </w:r>
      <w:r w:rsidR="00BA3FEB">
        <w:rPr>
          <w:lang w:val="hy-AM"/>
        </w:rPr>
        <w:t>Նշենք, որ</w:t>
      </w:r>
      <w:r>
        <w:rPr>
          <w:lang w:val="hy-AM"/>
        </w:rPr>
        <w:t xml:space="preserve"> ՀՀ ԿԲ </w:t>
      </w:r>
      <w:r w:rsidR="00F5208D">
        <w:rPr>
          <w:lang w:val="hy-AM"/>
        </w:rPr>
        <w:t xml:space="preserve">սեպտեմբեր ամսվա </w:t>
      </w:r>
      <w:r>
        <w:rPr>
          <w:lang w:val="hy-AM"/>
        </w:rPr>
        <w:t>կանխատեսումներով</w:t>
      </w:r>
      <w:r w:rsidR="00361DAA">
        <w:rPr>
          <w:rStyle w:val="FootnoteReference"/>
          <w:lang w:val="hy-AM"/>
        </w:rPr>
        <w:footnoteReference w:id="21"/>
      </w:r>
      <w:r>
        <w:rPr>
          <w:lang w:val="hy-AM"/>
        </w:rPr>
        <w:t xml:space="preserve"> 2021-2023</w:t>
      </w:r>
      <w:r w:rsidR="005034E3">
        <w:rPr>
          <w:lang w:val="hy-AM"/>
        </w:rPr>
        <w:t xml:space="preserve">թթ. </w:t>
      </w:r>
      <w:r>
        <w:rPr>
          <w:lang w:val="hy-AM"/>
        </w:rPr>
        <w:t>արտահանման ծավալների աճը</w:t>
      </w:r>
      <w:r w:rsidR="0016363D">
        <w:rPr>
          <w:lang w:val="hy-AM"/>
        </w:rPr>
        <w:t xml:space="preserve"> </w:t>
      </w:r>
      <w:r w:rsidR="0001609C">
        <w:rPr>
          <w:lang w:val="hy-AM"/>
        </w:rPr>
        <w:t xml:space="preserve">տարեկան </w:t>
      </w:r>
      <w:r w:rsidR="00440B0C">
        <w:rPr>
          <w:lang w:val="hy-AM"/>
        </w:rPr>
        <w:t>միջին հաշվով</w:t>
      </w:r>
      <w:r>
        <w:rPr>
          <w:lang w:val="hy-AM"/>
        </w:rPr>
        <w:t xml:space="preserve"> կկազմի 9.2</w:t>
      </w:r>
      <w:r w:rsidRPr="00186240">
        <w:rPr>
          <w:lang w:val="hy-AM"/>
        </w:rPr>
        <w:t xml:space="preserve">%, ինչը կրկին խոսում է այն մասին, որ միջնաժամկետ հորիզոնում </w:t>
      </w:r>
      <w:r>
        <w:rPr>
          <w:lang w:val="hy-AM"/>
        </w:rPr>
        <w:t>չի ակնկալվում տնտեսության արտահանելի հատվածի էական բարելավում` հետևաբար` տնտեսական աճի բարձր որակի ապահովում:</w:t>
      </w:r>
    </w:p>
    <w:p w14:paraId="491E04D9" w14:textId="2CA3C278" w:rsidR="0084015E" w:rsidRDefault="0084015E" w:rsidP="008E3735">
      <w:pPr>
        <w:spacing w:before="240"/>
        <w:rPr>
          <w:b/>
          <w:lang w:val="hy-AM"/>
        </w:rPr>
      </w:pPr>
      <w:r w:rsidRPr="008F5026">
        <w:rPr>
          <w:b/>
          <w:lang w:val="hy-AM"/>
        </w:rPr>
        <w:t>Ամփոփելով</w:t>
      </w:r>
      <w:r w:rsidR="00440B0C" w:rsidRPr="008D325C">
        <w:rPr>
          <w:b/>
          <w:lang w:val="hy-AM"/>
        </w:rPr>
        <w:t>՝</w:t>
      </w:r>
      <w:r w:rsidRPr="008F5026">
        <w:rPr>
          <w:b/>
          <w:lang w:val="hy-AM"/>
        </w:rPr>
        <w:t xml:space="preserve"> նշենք, որ 2021 թվականին տնտեսության արտահանելի հատվածում իրավիճակի բարելավում չի նկատվում, ինչն ավելի է հեռացնում ՀՀ կառավարությանը տնտեսական բարձր որակի աճ և կառուցվածք ապահովելու նպատակադրումից:</w:t>
      </w:r>
    </w:p>
    <w:p w14:paraId="25469551" w14:textId="77777777" w:rsidR="00D00797" w:rsidRDefault="00D00797" w:rsidP="008E3735">
      <w:pPr>
        <w:spacing w:before="240"/>
        <w:rPr>
          <w:b/>
          <w:lang w:val="hy-AM"/>
        </w:rPr>
      </w:pPr>
    </w:p>
    <w:p w14:paraId="1FDB06AA" w14:textId="77777777" w:rsidR="00D00797" w:rsidRPr="008F5026" w:rsidRDefault="00D00797" w:rsidP="008E3735">
      <w:pPr>
        <w:spacing w:before="240"/>
        <w:rPr>
          <w:b/>
          <w:lang w:val="hy-AM"/>
        </w:rPr>
      </w:pPr>
    </w:p>
    <w:p w14:paraId="137A24C9" w14:textId="77777777" w:rsidR="008E3735" w:rsidRPr="00755987" w:rsidRDefault="008E3735" w:rsidP="00A83257">
      <w:pPr>
        <w:pStyle w:val="Heading2"/>
      </w:pPr>
      <w:bookmarkStart w:id="7" w:name="_Toc88138979"/>
      <w:r w:rsidRPr="00755987">
        <w:lastRenderedPageBreak/>
        <w:t>2.3. Բարձր տեխնոլոգիաները` տնտեսության լոկոմոտիվ</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07904607" w14:textId="77777777" w:rsidTr="00FC2CE7">
        <w:tc>
          <w:tcPr>
            <w:tcW w:w="9062" w:type="dxa"/>
            <w:shd w:val="clear" w:color="auto" w:fill="EDEDED" w:themeFill="accent3" w:themeFillTint="33"/>
          </w:tcPr>
          <w:p w14:paraId="4FE1FD7F" w14:textId="77777777" w:rsidR="008E3735" w:rsidRPr="00AB717C" w:rsidRDefault="008E3735" w:rsidP="00FC2CE7">
            <w:pPr>
              <w:spacing w:before="60" w:after="60" w:line="276" w:lineRule="auto"/>
              <w:jc w:val="center"/>
              <w:rPr>
                <w:color w:val="00B0F0"/>
                <w:sz w:val="22"/>
                <w:lang w:val="hy-AM"/>
              </w:rPr>
            </w:pPr>
            <w:r w:rsidRPr="00AB717C">
              <w:rPr>
                <w:color w:val="00B0F0"/>
                <w:sz w:val="22"/>
                <w:lang w:val="hy-AM"/>
              </w:rPr>
              <w:t>ՀՀ կառավարության 2019թ. ծրագիր</w:t>
            </w:r>
          </w:p>
          <w:p w14:paraId="2BC6E01B" w14:textId="77777777" w:rsidR="008E3735" w:rsidRPr="00186240" w:rsidRDefault="008E3735" w:rsidP="008E3735">
            <w:pPr>
              <w:pStyle w:val="ListParagraph"/>
              <w:numPr>
                <w:ilvl w:val="0"/>
                <w:numId w:val="13"/>
              </w:numPr>
              <w:spacing w:before="60" w:after="60" w:line="276" w:lineRule="auto"/>
              <w:ind w:left="318" w:hanging="284"/>
              <w:rPr>
                <w:sz w:val="20"/>
                <w:lang w:val="hy-AM"/>
              </w:rPr>
            </w:pPr>
            <w:r w:rsidRPr="001E4107">
              <w:rPr>
                <w:sz w:val="20"/>
                <w:lang w:val="hy-AM"/>
              </w:rPr>
              <w:t xml:space="preserve">Տնտեսության կառուցվածքը պետք է էական փոփոխություններ կրի. բարձր տեխնոլոգիաների արդյունաբերությունը պետք է դառնա տնտեսության լոկոմոտիվը: </w:t>
            </w:r>
            <w:r w:rsidRPr="001E4107">
              <w:rPr>
                <w:b/>
                <w:sz w:val="20"/>
                <w:lang w:val="hy-AM"/>
              </w:rPr>
              <w:t>Կառավարությունը նպատակադրվել է Հայաստանը դարձնել բարձր տեխնոլոգիական</w:t>
            </w:r>
            <w:r w:rsidRPr="001E4107">
              <w:rPr>
                <w:rStyle w:val="FootnoteReference"/>
                <w:sz w:val="20"/>
                <w:lang w:val="hy-AM"/>
              </w:rPr>
              <w:footnoteReference w:id="22"/>
            </w:r>
            <w:r w:rsidRPr="001E4107">
              <w:rPr>
                <w:b/>
                <w:sz w:val="20"/>
                <w:lang w:val="hy-AM"/>
              </w:rPr>
              <w:t xml:space="preserve">, արդյունաբերական երկիր: </w:t>
            </w:r>
          </w:p>
        </w:tc>
      </w:tr>
    </w:tbl>
    <w:p w14:paraId="5B6F7ABA" w14:textId="0F0FF50E" w:rsidR="00B321B6" w:rsidRDefault="008E3735" w:rsidP="008E3735">
      <w:pPr>
        <w:spacing w:before="240"/>
        <w:rPr>
          <w:lang w:val="hy-AM"/>
        </w:rPr>
      </w:pPr>
      <w:r w:rsidRPr="00764038">
        <w:rPr>
          <w:b/>
          <w:lang w:val="hy-AM"/>
        </w:rPr>
        <w:t>ՀՀ ներկայիս կառավարությանը չի հաջողվել էական ձեռքբերում գրանցել</w:t>
      </w:r>
      <w:r>
        <w:rPr>
          <w:b/>
          <w:lang w:val="hy-AM"/>
        </w:rPr>
        <w:t xml:space="preserve"> բարձր տեխնոլոգիական</w:t>
      </w:r>
      <w:r w:rsidRPr="00764038">
        <w:rPr>
          <w:b/>
          <w:lang w:val="hy-AM"/>
        </w:rPr>
        <w:t xml:space="preserve"> </w:t>
      </w:r>
      <w:r w:rsidRPr="00186240">
        <w:rPr>
          <w:b/>
          <w:lang w:val="hy-AM"/>
        </w:rPr>
        <w:t>(</w:t>
      </w:r>
      <w:r w:rsidRPr="00764038">
        <w:rPr>
          <w:b/>
          <w:lang w:val="hy-AM"/>
        </w:rPr>
        <w:t>ԲՏ</w:t>
      </w:r>
      <w:r w:rsidRPr="00186240">
        <w:rPr>
          <w:b/>
          <w:lang w:val="hy-AM"/>
        </w:rPr>
        <w:t>)</w:t>
      </w:r>
      <w:r w:rsidRPr="00764038">
        <w:rPr>
          <w:b/>
          <w:lang w:val="hy-AM"/>
        </w:rPr>
        <w:t xml:space="preserve"> արդյունաբերության զարգացման մասով:</w:t>
      </w:r>
      <w:r>
        <w:rPr>
          <w:lang w:val="hy-AM"/>
        </w:rPr>
        <w:t xml:space="preserve"> ԲՏ արդյունաբերության ծավալներն</w:t>
      </w:r>
      <w:r w:rsidR="00675E29">
        <w:rPr>
          <w:rStyle w:val="FootnoteReference"/>
          <w:lang w:val="hy-AM"/>
        </w:rPr>
        <w:footnoteReference w:id="23"/>
      </w:r>
      <w:r>
        <w:rPr>
          <w:lang w:val="hy-AM"/>
        </w:rPr>
        <w:t xml:space="preserve"> իրական արտահայտությամբ 2018-ին նախորդ տարվա համեմատ աճել են 10.7</w:t>
      </w:r>
      <w:r w:rsidRPr="00186240">
        <w:rPr>
          <w:lang w:val="hy-AM"/>
        </w:rPr>
        <w:t>%-</w:t>
      </w:r>
      <w:r>
        <w:rPr>
          <w:lang w:val="hy-AM"/>
        </w:rPr>
        <w:t>ով` 2017-ին գրանցված 12.5</w:t>
      </w:r>
      <w:r w:rsidRPr="00186240">
        <w:rPr>
          <w:lang w:val="hy-AM"/>
        </w:rPr>
        <w:t>%-</w:t>
      </w:r>
      <w:r>
        <w:rPr>
          <w:lang w:val="hy-AM"/>
        </w:rPr>
        <w:t xml:space="preserve">ի փոխարեն </w:t>
      </w:r>
      <w:r w:rsidRPr="00186240">
        <w:rPr>
          <w:lang w:val="hy-AM"/>
        </w:rPr>
        <w:t>(</w:t>
      </w:r>
      <w:r>
        <w:rPr>
          <w:lang w:val="hy-AM"/>
        </w:rPr>
        <w:t>ընդ որում, 2016-ին գրանցվել էր 27.5</w:t>
      </w:r>
      <w:r w:rsidRPr="00186240">
        <w:rPr>
          <w:lang w:val="hy-AM"/>
        </w:rPr>
        <w:t>%</w:t>
      </w:r>
      <w:r>
        <w:rPr>
          <w:lang w:val="hy-AM"/>
        </w:rPr>
        <w:t xml:space="preserve"> աճ</w:t>
      </w:r>
      <w:r w:rsidRPr="00186240">
        <w:rPr>
          <w:lang w:val="hy-AM"/>
        </w:rPr>
        <w:t>)</w:t>
      </w:r>
      <w:r>
        <w:rPr>
          <w:lang w:val="hy-AM"/>
        </w:rPr>
        <w:t xml:space="preserve">, իսկ 2019 թվականին աճի տեմպը կտրուկ դանդաղել է </w:t>
      </w:r>
      <w:r w:rsidRPr="00186240">
        <w:rPr>
          <w:lang w:val="hy-AM"/>
        </w:rPr>
        <w:t>(</w:t>
      </w:r>
      <w:r>
        <w:rPr>
          <w:lang w:val="hy-AM"/>
        </w:rPr>
        <w:t>մոտ 7.4 տոկոսային կետով</w:t>
      </w:r>
      <w:r w:rsidRPr="00186240">
        <w:rPr>
          <w:lang w:val="hy-AM"/>
        </w:rPr>
        <w:t>)</w:t>
      </w:r>
      <w:r>
        <w:rPr>
          <w:lang w:val="hy-AM"/>
        </w:rPr>
        <w:t>` կազմելով 3.3</w:t>
      </w:r>
      <w:r w:rsidRPr="00186240">
        <w:rPr>
          <w:lang w:val="hy-AM"/>
        </w:rPr>
        <w:t xml:space="preserve">%: 2020 </w:t>
      </w:r>
      <w:r>
        <w:rPr>
          <w:lang w:val="hy-AM"/>
        </w:rPr>
        <w:t>թվականին բարձր տեխնոլոգիական արդյունաբերության ոլորտում գրանցվել է 9.2</w:t>
      </w:r>
      <w:r w:rsidRPr="00186240">
        <w:rPr>
          <w:lang w:val="hy-AM"/>
        </w:rPr>
        <w:t>%</w:t>
      </w:r>
      <w:r>
        <w:rPr>
          <w:lang w:val="hy-AM"/>
        </w:rPr>
        <w:t xml:space="preserve"> անկում: Ստացվում է, որ 2018-2020թթ. ընթացքում ԲՏ արդյունաբերության ոլորտում գրանցվել է սկզբում արտադրանքի ծավալների աճի տեմպի դանդաղում, այնուհետև բավական խոր անկում: </w:t>
      </w:r>
    </w:p>
    <w:p w14:paraId="44DB2254" w14:textId="21684CE3" w:rsidR="008E3735" w:rsidRDefault="008E3735" w:rsidP="008E3735">
      <w:pPr>
        <w:spacing w:before="240"/>
        <w:rPr>
          <w:lang w:val="hy-AM"/>
        </w:rPr>
      </w:pPr>
      <w:r>
        <w:rPr>
          <w:lang w:val="hy-AM"/>
        </w:rPr>
        <w:t>Ընդ որում, 2021թ. առաջին կիսամյակի արդյունքներով, թեև 2020թ. առաջին կիսամյակի համեմատ գրանցվել է աճ, այդուհանդերձ նախաճգնաժամային 2019թ. համապատասխան ժամանակահատվածի համեմատ աճը կազմել է ընդամենը 1.3</w:t>
      </w:r>
      <w:r w:rsidRPr="00186240">
        <w:rPr>
          <w:lang w:val="hy-AM"/>
        </w:rPr>
        <w:t xml:space="preserve">%: </w:t>
      </w:r>
      <w:r w:rsidRPr="00BE1E67">
        <w:rPr>
          <w:b/>
          <w:lang w:val="hy-AM"/>
        </w:rPr>
        <w:t>Այսինքն</w:t>
      </w:r>
      <w:r w:rsidR="0060327C" w:rsidRPr="008D325C">
        <w:rPr>
          <w:b/>
          <w:lang w:val="hy-AM"/>
        </w:rPr>
        <w:t>՝</w:t>
      </w:r>
      <w:r w:rsidRPr="00BE1E67">
        <w:rPr>
          <w:b/>
          <w:lang w:val="hy-AM"/>
        </w:rPr>
        <w:t xml:space="preserve"> հետճգնաժամային </w:t>
      </w:r>
      <w:r>
        <w:rPr>
          <w:b/>
          <w:lang w:val="hy-AM"/>
        </w:rPr>
        <w:t>ժամանակա</w:t>
      </w:r>
      <w:r w:rsidRPr="00BE1E67">
        <w:rPr>
          <w:b/>
          <w:lang w:val="hy-AM"/>
        </w:rPr>
        <w:t>հատվածում ոլորտի վերականգնման տեմպերը ևս ոգեշնչող չեն</w:t>
      </w:r>
      <w:r w:rsidR="00F71A30">
        <w:rPr>
          <w:b/>
          <w:lang w:val="hy-AM"/>
        </w:rPr>
        <w:t>:</w:t>
      </w:r>
      <w:r w:rsidRPr="00BE1E67">
        <w:rPr>
          <w:b/>
          <w:lang w:val="hy-AM"/>
        </w:rPr>
        <w:t xml:space="preserve"> </w:t>
      </w:r>
    </w:p>
    <w:p w14:paraId="25C0DBAA" w14:textId="395A6B65" w:rsidR="008E3735" w:rsidRDefault="008E3735" w:rsidP="008E3735">
      <w:pPr>
        <w:spacing w:before="240"/>
        <w:rPr>
          <w:lang w:val="hy-AM"/>
        </w:rPr>
      </w:pPr>
      <w:r w:rsidRPr="00D37B58">
        <w:rPr>
          <w:b/>
          <w:lang w:val="hy-AM"/>
        </w:rPr>
        <w:t>Պատկերը համեմատաբար դրական է ՏՏ ծառայությունների մասով</w:t>
      </w:r>
      <w:r w:rsidR="00754084">
        <w:rPr>
          <w:rStyle w:val="FootnoteReference"/>
          <w:b/>
          <w:lang w:val="hy-AM"/>
        </w:rPr>
        <w:footnoteReference w:id="24"/>
      </w:r>
      <w:r w:rsidRPr="00D37B58">
        <w:rPr>
          <w:b/>
          <w:lang w:val="hy-AM"/>
        </w:rPr>
        <w:t>:</w:t>
      </w:r>
      <w:r>
        <w:rPr>
          <w:lang w:val="hy-AM"/>
        </w:rPr>
        <w:t xml:space="preserve"> Նախ նշենք, որ ՏՏ ոլորտը ՀՀ-ում վերջին տասնամյակում զարգացող  ճյուղերից մեկն է: Ընդ որում, 2015-2017 թվականներին ՏՏ ծառայությունների իրական ծավալային աճը կազմել է տարեկան </w:t>
      </w:r>
      <w:r w:rsidR="00440B0C">
        <w:rPr>
          <w:lang w:val="hy-AM"/>
        </w:rPr>
        <w:t>միջին հաշվով</w:t>
      </w:r>
      <w:r>
        <w:rPr>
          <w:lang w:val="hy-AM"/>
        </w:rPr>
        <w:t xml:space="preserve"> 30.0</w:t>
      </w:r>
      <w:r w:rsidRPr="00186240">
        <w:rPr>
          <w:lang w:val="hy-AM"/>
        </w:rPr>
        <w:t>%</w:t>
      </w:r>
      <w:r>
        <w:rPr>
          <w:lang w:val="hy-AM"/>
        </w:rPr>
        <w:t xml:space="preserve">: </w:t>
      </w:r>
      <w:r w:rsidRPr="00D37B58">
        <w:rPr>
          <w:lang w:val="hy-AM"/>
        </w:rPr>
        <w:t xml:space="preserve">Ցավոք, 2018 թվականին ՀՀ </w:t>
      </w:r>
      <w:r>
        <w:rPr>
          <w:lang w:val="hy-AM"/>
        </w:rPr>
        <w:t xml:space="preserve">ներկայիս </w:t>
      </w:r>
      <w:r w:rsidRPr="00D37B58">
        <w:rPr>
          <w:lang w:val="hy-AM"/>
        </w:rPr>
        <w:t>կառավարությանը չի հաջողվել ապահովել ոլորտի զարգացման նախկին տեմպերը</w:t>
      </w:r>
      <w:r>
        <w:rPr>
          <w:lang w:val="hy-AM"/>
        </w:rPr>
        <w:t>, ինչի արդյունքում 2018-ին ՏՏ ծառայությունների ծավալային աճի տեմպը դանդաղել է ավելի քան երկու անգամ` կազմելով 14.0</w:t>
      </w:r>
      <w:r w:rsidRPr="00186240">
        <w:rPr>
          <w:lang w:val="hy-AM"/>
        </w:rPr>
        <w:t>%</w:t>
      </w:r>
      <w:r>
        <w:rPr>
          <w:lang w:val="hy-AM"/>
        </w:rPr>
        <w:t>:</w:t>
      </w:r>
      <w:r w:rsidRPr="00186240">
        <w:rPr>
          <w:lang w:val="hy-AM"/>
        </w:rPr>
        <w:t xml:space="preserve"> </w:t>
      </w:r>
      <w:r>
        <w:rPr>
          <w:lang w:val="hy-AM"/>
        </w:rPr>
        <w:t>2019 թվականին ոլորտում գրանցվել է աճ 30.0</w:t>
      </w:r>
      <w:r w:rsidRPr="00186240">
        <w:rPr>
          <w:lang w:val="hy-AM"/>
        </w:rPr>
        <w:t>%-</w:t>
      </w:r>
      <w:r>
        <w:rPr>
          <w:lang w:val="hy-AM"/>
        </w:rPr>
        <w:t xml:space="preserve">ով, իսկ 2020 թվականին աճը </w:t>
      </w:r>
      <w:r>
        <w:rPr>
          <w:lang w:val="hy-AM"/>
        </w:rPr>
        <w:lastRenderedPageBreak/>
        <w:t>կազմել է 22.7</w:t>
      </w:r>
      <w:r w:rsidRPr="00186240">
        <w:rPr>
          <w:lang w:val="hy-AM"/>
        </w:rPr>
        <w:t>%</w:t>
      </w:r>
      <w:r>
        <w:rPr>
          <w:lang w:val="hy-AM"/>
        </w:rPr>
        <w:t>, ինչը դրական արդյունք է` հաշվի առնելով ճգնաժամային տարվա բացասական զարգացումները տնտեսության գրեթե բոլոր ճյուղերում</w:t>
      </w:r>
      <w:r w:rsidR="00D4323D">
        <w:rPr>
          <w:lang w:val="hy-AM"/>
        </w:rPr>
        <w:t>:</w:t>
      </w:r>
      <w:r>
        <w:rPr>
          <w:lang w:val="hy-AM"/>
        </w:rPr>
        <w:t xml:space="preserve"> </w:t>
      </w:r>
      <w:r w:rsidR="00D4323D">
        <w:rPr>
          <w:lang w:val="hy-AM"/>
        </w:rPr>
        <w:t xml:space="preserve">Սակայն պետք է նշել, որ </w:t>
      </w:r>
      <w:r>
        <w:rPr>
          <w:lang w:val="hy-AM"/>
        </w:rPr>
        <w:t xml:space="preserve">այն ավելի շուտ համավարակի հետևանքով առցանց ծառայությունների նկատմամբ պահանջարկի աճի արդյունք է, քան ՀՀ կառավարության որդեգրած քաղաքականության հետևանք: 2021թ. առաջին կիսամյակի արդյունքներով նախորդ տարվա համապատասխան ժամանակահատվածի համեմատ ոլորտում կրկին գրանցվել է աճ </w:t>
      </w:r>
      <w:r w:rsidRPr="00186240">
        <w:rPr>
          <w:lang w:val="hy-AM"/>
        </w:rPr>
        <w:t>(</w:t>
      </w:r>
      <w:r>
        <w:rPr>
          <w:lang w:val="hy-AM"/>
        </w:rPr>
        <w:t>18.5</w:t>
      </w:r>
      <w:r w:rsidRPr="00186240">
        <w:rPr>
          <w:lang w:val="hy-AM"/>
        </w:rPr>
        <w:t>%)</w:t>
      </w:r>
      <w:r>
        <w:rPr>
          <w:lang w:val="hy-AM"/>
        </w:rPr>
        <w:t>, ինչը սակայն 5.4</w:t>
      </w:r>
      <w:r w:rsidRPr="00186240">
        <w:rPr>
          <w:lang w:val="hy-AM"/>
        </w:rPr>
        <w:t xml:space="preserve"> </w:t>
      </w:r>
      <w:r>
        <w:rPr>
          <w:lang w:val="hy-AM"/>
        </w:rPr>
        <w:t xml:space="preserve">տոկոսային կետով ավելի ցածր է 2020թ. առաջին կիսամյակում գրանցված աճից: </w:t>
      </w:r>
    </w:p>
    <w:p w14:paraId="72B7D8DA" w14:textId="05633E95" w:rsidR="008E3735" w:rsidRDefault="008E3735" w:rsidP="008E3735">
      <w:pPr>
        <w:spacing w:before="240"/>
        <w:rPr>
          <w:b/>
          <w:lang w:val="hy-AM"/>
        </w:rPr>
      </w:pPr>
      <w:r w:rsidRPr="00331C6D">
        <w:rPr>
          <w:lang w:val="hy-AM"/>
        </w:rPr>
        <w:t xml:space="preserve">Այդուհանդերձ պետք է նկատենք, որ </w:t>
      </w:r>
      <w:r>
        <w:rPr>
          <w:lang w:val="hy-AM"/>
        </w:rPr>
        <w:t>ՏՏ</w:t>
      </w:r>
      <w:r w:rsidRPr="00331C6D">
        <w:rPr>
          <w:lang w:val="hy-AM"/>
        </w:rPr>
        <w:t xml:space="preserve"> ծառայությունների ծավալը ընդհանուր ծառայությունների ծավալում դեռևս էական աճ չի գրանցել.</w:t>
      </w:r>
      <w:r>
        <w:rPr>
          <w:lang w:val="hy-AM"/>
        </w:rPr>
        <w:t xml:space="preserve"> 2021թ. առաջին կիսամյակի արդյունքներով դրա կշիռը կազմում է 8.7</w:t>
      </w:r>
      <w:r w:rsidRPr="00186240">
        <w:rPr>
          <w:lang w:val="hy-AM"/>
        </w:rPr>
        <w:t xml:space="preserve">%, </w:t>
      </w:r>
      <w:r>
        <w:rPr>
          <w:lang w:val="hy-AM"/>
        </w:rPr>
        <w:t>ինչը բարձր է 2017թ. համապատասխան ցուցանիշից ընդամենը 3.1</w:t>
      </w:r>
      <w:r w:rsidRPr="00186240">
        <w:rPr>
          <w:lang w:val="hy-AM"/>
        </w:rPr>
        <w:t xml:space="preserve"> </w:t>
      </w:r>
      <w:r>
        <w:rPr>
          <w:lang w:val="hy-AM"/>
        </w:rPr>
        <w:t xml:space="preserve">տոկոսային կետով: </w:t>
      </w:r>
      <w:r w:rsidRPr="00261285">
        <w:rPr>
          <w:b/>
          <w:lang w:val="hy-AM"/>
        </w:rPr>
        <w:t>Ուստի</w:t>
      </w:r>
      <w:r w:rsidR="0060327C" w:rsidRPr="008D325C">
        <w:rPr>
          <w:b/>
          <w:lang w:val="hy-AM"/>
        </w:rPr>
        <w:t>,</w:t>
      </w:r>
      <w:r w:rsidRPr="00261285">
        <w:rPr>
          <w:b/>
          <w:lang w:val="hy-AM"/>
        </w:rPr>
        <w:t xml:space="preserve"> կարող ենք փաստել, որ </w:t>
      </w:r>
      <w:r>
        <w:rPr>
          <w:b/>
          <w:lang w:val="hy-AM"/>
        </w:rPr>
        <w:t>ՏՏ</w:t>
      </w:r>
      <w:r w:rsidRPr="00261285">
        <w:rPr>
          <w:b/>
          <w:lang w:val="hy-AM"/>
        </w:rPr>
        <w:t xml:space="preserve"> խթանման և </w:t>
      </w:r>
      <w:r>
        <w:rPr>
          <w:b/>
          <w:lang w:val="hy-AM"/>
        </w:rPr>
        <w:t>ՀՆԱ-ում դրա</w:t>
      </w:r>
      <w:r w:rsidRPr="00261285">
        <w:rPr>
          <w:b/>
          <w:lang w:val="hy-AM"/>
        </w:rPr>
        <w:t xml:space="preserve"> դերը նկատելիորեն ավելացնելու հարցում դեռևս շատ անելիքներ կան:</w:t>
      </w:r>
    </w:p>
    <w:p w14:paraId="4DB1BC6F" w14:textId="5CD6CDBE" w:rsidR="00F71A30" w:rsidRPr="00191681" w:rsidRDefault="00F71A30" w:rsidP="008E3735">
      <w:pPr>
        <w:spacing w:before="240"/>
        <w:rPr>
          <w:lang w:val="hy-AM"/>
        </w:rPr>
      </w:pPr>
      <w:r>
        <w:rPr>
          <w:b/>
          <w:lang w:val="hy-AM"/>
        </w:rPr>
        <w:t>Հաշվի առնելով վերոգրյալը</w:t>
      </w:r>
      <w:r w:rsidR="0060327C" w:rsidRPr="008D325C">
        <w:rPr>
          <w:b/>
          <w:lang w:val="hy-AM"/>
        </w:rPr>
        <w:t>՝</w:t>
      </w:r>
      <w:r>
        <w:rPr>
          <w:b/>
          <w:lang w:val="hy-AM"/>
        </w:rPr>
        <w:t xml:space="preserve"> կարող ենք փաստել</w:t>
      </w:r>
      <w:r w:rsidR="0044472D">
        <w:rPr>
          <w:b/>
          <w:lang w:val="hy-AM"/>
        </w:rPr>
        <w:t xml:space="preserve">, </w:t>
      </w:r>
      <w:r w:rsidR="0044472D" w:rsidRPr="00BE1E67">
        <w:rPr>
          <w:b/>
          <w:lang w:val="hy-AM"/>
        </w:rPr>
        <w:t>որ Հայաստանը բարձր տեխնոլոգիական արդյունաբերական երկիր դ</w:t>
      </w:r>
      <w:r w:rsidR="001E3F17">
        <w:rPr>
          <w:b/>
          <w:lang w:val="hy-AM"/>
        </w:rPr>
        <w:t>ար</w:t>
      </w:r>
      <w:r w:rsidR="0044472D" w:rsidRPr="00BE1E67">
        <w:rPr>
          <w:b/>
          <w:lang w:val="hy-AM"/>
        </w:rPr>
        <w:t>ձնելու ՀՀ կառավարության խոստումները դեռևս հեռու են իրական լինելուց: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B4C4"/>
        <w:tblLook w:val="04A0" w:firstRow="1" w:lastRow="0" w:firstColumn="1" w:lastColumn="0" w:noHBand="0" w:noVBand="1"/>
      </w:tblPr>
      <w:tblGrid>
        <w:gridCol w:w="9062"/>
      </w:tblGrid>
      <w:tr w:rsidR="008E3735" w:rsidRPr="00D00797" w14:paraId="0026763C" w14:textId="77777777" w:rsidTr="00FC2CE7">
        <w:tc>
          <w:tcPr>
            <w:tcW w:w="9062" w:type="dxa"/>
            <w:shd w:val="clear" w:color="auto" w:fill="EDEDED" w:themeFill="accent3" w:themeFillTint="33"/>
          </w:tcPr>
          <w:p w14:paraId="12072A12" w14:textId="77777777" w:rsidR="008E3735" w:rsidRPr="00C96029" w:rsidRDefault="008E3735" w:rsidP="00FC2CE7">
            <w:pPr>
              <w:spacing w:before="60" w:after="60" w:line="276" w:lineRule="auto"/>
              <w:jc w:val="center"/>
              <w:rPr>
                <w:color w:val="00B0F0"/>
                <w:sz w:val="22"/>
                <w:lang w:val="hy-AM"/>
              </w:rPr>
            </w:pPr>
            <w:r w:rsidRPr="00C96029">
              <w:rPr>
                <w:color w:val="00B0F0"/>
                <w:sz w:val="22"/>
                <w:lang w:val="hy-AM"/>
              </w:rPr>
              <w:t>ՀՀ կառավարության 2021թ. ծրագիր</w:t>
            </w:r>
          </w:p>
          <w:p w14:paraId="37E5A638" w14:textId="77777777" w:rsidR="008E3735" w:rsidRPr="00186240" w:rsidRDefault="008E3735" w:rsidP="008E3735">
            <w:pPr>
              <w:pStyle w:val="ListParagraph"/>
              <w:numPr>
                <w:ilvl w:val="0"/>
                <w:numId w:val="13"/>
              </w:numPr>
              <w:spacing w:before="60" w:after="60" w:line="276" w:lineRule="auto"/>
              <w:ind w:left="318" w:hanging="284"/>
              <w:rPr>
                <w:sz w:val="20"/>
                <w:lang w:val="hy-AM"/>
              </w:rPr>
            </w:pPr>
            <w:r w:rsidRPr="005C7251">
              <w:rPr>
                <w:sz w:val="20"/>
                <w:lang w:val="hy-AM"/>
              </w:rPr>
              <w:t xml:space="preserve">Բարձր տեխնոլոգիաների ոլորտում </w:t>
            </w:r>
            <w:r w:rsidRPr="005C7251">
              <w:rPr>
                <w:b/>
                <w:sz w:val="20"/>
                <w:lang w:val="hy-AM"/>
              </w:rPr>
              <w:t>մինչև 2026 թվականը Կառավարությունը նախատեսում է ունենալ շուրջ 35,000 զբաղվածներ և ոլորտի շրջանառությունը հասցնել 500 մլրդ դրամի, որը կկազմի ՀՆԱ-ի 6-7%-ը</w:t>
            </w:r>
            <w:r w:rsidRPr="005C7251">
              <w:rPr>
                <w:sz w:val="20"/>
                <w:lang w:val="hy-AM"/>
              </w:rPr>
              <w:t xml:space="preserve">։ 2020 թվականի տվյալներով այս ցուցանիշը 4% է։ Այսպիսով, </w:t>
            </w:r>
            <w:r w:rsidRPr="005C7251">
              <w:rPr>
                <w:b/>
                <w:sz w:val="20"/>
                <w:lang w:val="hy-AM"/>
              </w:rPr>
              <w:t>Հայաստանում կստեղծվի առնվազն 16,000 նոր աշխատատեղ բարձր տեխնոլոգիաների ոլորտում</w:t>
            </w:r>
            <w:r w:rsidRPr="005C7251">
              <w:rPr>
                <w:sz w:val="20"/>
                <w:lang w:val="hy-AM"/>
              </w:rPr>
              <w:t>։</w:t>
            </w:r>
          </w:p>
        </w:tc>
      </w:tr>
    </w:tbl>
    <w:p w14:paraId="5E927EA3" w14:textId="4E6CFB33" w:rsidR="008E3735" w:rsidRDefault="008E3735" w:rsidP="008E3735">
      <w:pPr>
        <w:spacing w:before="240"/>
        <w:rPr>
          <w:lang w:val="hy-AM"/>
        </w:rPr>
      </w:pPr>
      <w:r>
        <w:rPr>
          <w:lang w:val="hy-AM"/>
        </w:rPr>
        <w:t xml:space="preserve">Ինչպես տեսնում ենք, ՀՀ կառավարության 2021թ. ծրագրում ևս ամրագրվում է բարձր տեխնոլոգիաների ոլորտի խթանման անհրաժեշտությունը: </w:t>
      </w:r>
      <w:r w:rsidRPr="002A35FB">
        <w:rPr>
          <w:b/>
          <w:lang w:val="hy-AM"/>
        </w:rPr>
        <w:t>Այդուհանդերձ, ծրագրում ներկայացված թիրախների վերաբերյալ որևէ հստակ գնահատական հնչեցնել հնարավոր չէ, քանի որ</w:t>
      </w:r>
      <w:r w:rsidR="00E13FAC">
        <w:rPr>
          <w:b/>
          <w:lang w:val="hy-AM"/>
        </w:rPr>
        <w:t xml:space="preserve"> դրանց վերաբերյալ հրապարակային տեղեկատվություն</w:t>
      </w:r>
      <w:r w:rsidRPr="002A35FB">
        <w:rPr>
          <w:b/>
          <w:lang w:val="hy-AM"/>
        </w:rPr>
        <w:t xml:space="preserve"> պետական վիճակագրական որևէ տեղեկագրում </w:t>
      </w:r>
      <w:r w:rsidR="00E13FAC">
        <w:rPr>
          <w:b/>
          <w:lang w:val="hy-AM"/>
        </w:rPr>
        <w:t>չի ներկայացվում: Արդյունքում մի կողմից հնարավո</w:t>
      </w:r>
      <w:r w:rsidR="006A232C">
        <w:rPr>
          <w:b/>
          <w:lang w:val="hy-AM"/>
        </w:rPr>
        <w:t>ր</w:t>
      </w:r>
      <w:r w:rsidR="00D233DF">
        <w:rPr>
          <w:b/>
          <w:lang w:val="hy-AM"/>
        </w:rPr>
        <w:t xml:space="preserve"> չէ</w:t>
      </w:r>
      <w:r w:rsidR="00E13FAC">
        <w:rPr>
          <w:b/>
          <w:lang w:val="hy-AM"/>
        </w:rPr>
        <w:t xml:space="preserve"> ստու</w:t>
      </w:r>
      <w:r w:rsidR="00D233DF">
        <w:rPr>
          <w:b/>
          <w:lang w:val="hy-AM"/>
        </w:rPr>
        <w:t>գել</w:t>
      </w:r>
      <w:r w:rsidR="00E13FAC">
        <w:rPr>
          <w:b/>
          <w:lang w:val="hy-AM"/>
        </w:rPr>
        <w:t xml:space="preserve"> ներկայացված տեղեկատվության ստուգությունը, մյուս կողմից` </w:t>
      </w:r>
      <w:r w:rsidR="00C669A3">
        <w:rPr>
          <w:b/>
          <w:lang w:val="hy-AM"/>
        </w:rPr>
        <w:t xml:space="preserve">օգտվելով </w:t>
      </w:r>
      <w:r w:rsidR="00E13FAC">
        <w:rPr>
          <w:b/>
          <w:lang w:val="hy-AM"/>
        </w:rPr>
        <w:t>նշված թիրախների վիճակագրություն</w:t>
      </w:r>
      <w:r w:rsidR="00C669A3">
        <w:rPr>
          <w:b/>
          <w:lang w:val="hy-AM"/>
        </w:rPr>
        <w:t xml:space="preserve">ից` վերլուծել </w:t>
      </w:r>
      <w:r w:rsidR="00243824">
        <w:rPr>
          <w:b/>
          <w:lang w:val="hy-AM"/>
        </w:rPr>
        <w:t>դրանց</w:t>
      </w:r>
      <w:r w:rsidR="00C669A3">
        <w:rPr>
          <w:b/>
          <w:lang w:val="hy-AM"/>
        </w:rPr>
        <w:t xml:space="preserve"> իրատեսականությունը</w:t>
      </w:r>
      <w:r w:rsidRPr="002A35FB">
        <w:rPr>
          <w:b/>
          <w:lang w:val="hy-AM"/>
        </w:rPr>
        <w:t>:</w:t>
      </w:r>
    </w:p>
    <w:p w14:paraId="35111ED0" w14:textId="4C51479A" w:rsidR="008E3735" w:rsidRPr="008F5026" w:rsidRDefault="008E3735" w:rsidP="00A83257">
      <w:pPr>
        <w:pStyle w:val="Heading2"/>
      </w:pPr>
      <w:bookmarkStart w:id="8" w:name="_Toc88138980"/>
      <w:r w:rsidRPr="00186240">
        <w:lastRenderedPageBreak/>
        <w:t>2.4. Մշակող արդյունաբերությունը` արտադրական կարողությունների ընդլայնման հնարավորություն</w:t>
      </w:r>
      <w:r w:rsidR="00D41F5A">
        <w:t xml:space="preserve">, հանքարդյունաբերությունը` տնտեսական աճի ապահովման օժանդակ միջոց, ծառայությունները` </w:t>
      </w:r>
      <w:r w:rsidR="006070B2">
        <w:t>տնտեսական աճի ապահովման հիմնական ուղղություն</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5EB51816" w14:textId="77777777" w:rsidTr="00FC2CE7">
        <w:tc>
          <w:tcPr>
            <w:tcW w:w="9062" w:type="dxa"/>
            <w:shd w:val="clear" w:color="auto" w:fill="EDEDED" w:themeFill="accent3" w:themeFillTint="33"/>
          </w:tcPr>
          <w:p w14:paraId="6CD7F37E" w14:textId="77777777" w:rsidR="008E3735" w:rsidRPr="00627DA7" w:rsidRDefault="008E3735" w:rsidP="00FC2CE7">
            <w:pPr>
              <w:spacing w:before="60" w:after="60" w:line="276" w:lineRule="auto"/>
              <w:jc w:val="center"/>
              <w:rPr>
                <w:color w:val="00B0F0"/>
                <w:sz w:val="22"/>
                <w:lang w:val="hy-AM"/>
              </w:rPr>
            </w:pPr>
            <w:r w:rsidRPr="00627DA7">
              <w:rPr>
                <w:color w:val="00B0F0"/>
                <w:sz w:val="22"/>
                <w:lang w:val="hy-AM"/>
              </w:rPr>
              <w:t>ՀՀ կառավարության 2019թ. ծրագիր</w:t>
            </w:r>
          </w:p>
          <w:p w14:paraId="4F1E2302" w14:textId="0913D6F2" w:rsidR="008E3735" w:rsidRPr="00186240" w:rsidRDefault="00A07C1D" w:rsidP="008E3735">
            <w:pPr>
              <w:pStyle w:val="ListParagraph"/>
              <w:numPr>
                <w:ilvl w:val="0"/>
                <w:numId w:val="13"/>
              </w:numPr>
              <w:spacing w:before="60" w:after="60" w:line="276" w:lineRule="auto"/>
              <w:ind w:left="318" w:hanging="284"/>
              <w:rPr>
                <w:sz w:val="20"/>
                <w:lang w:val="hy-AM"/>
              </w:rPr>
            </w:pPr>
            <w:r>
              <w:rPr>
                <w:b/>
                <w:sz w:val="20"/>
                <w:lang w:val="hy-AM"/>
              </w:rPr>
              <w:t>Մ</w:t>
            </w:r>
            <w:r w:rsidRPr="00797D9B">
              <w:rPr>
                <w:b/>
                <w:sz w:val="20"/>
                <w:lang w:val="hy-AM"/>
              </w:rPr>
              <w:t xml:space="preserve">շակող </w:t>
            </w:r>
            <w:r w:rsidR="008E3735" w:rsidRPr="00797D9B">
              <w:rPr>
                <w:b/>
                <w:sz w:val="20"/>
                <w:lang w:val="hy-AM"/>
              </w:rPr>
              <w:t>արդյունաբերության արժեշղթայի ընդլայնումը</w:t>
            </w:r>
            <w:r w:rsidR="008E3735" w:rsidRPr="00797D9B">
              <w:rPr>
                <w:sz w:val="20"/>
                <w:lang w:val="hy-AM"/>
              </w:rPr>
              <w:t xml:space="preserve"> Հայաստանում առկա արտադրական կարողությունների ընդլայնման զգալի հնարավորություն է:</w:t>
            </w:r>
          </w:p>
          <w:p w14:paraId="33A51220" w14:textId="5231F5EB" w:rsidR="00E14980" w:rsidRPr="00186240" w:rsidRDefault="00E14980" w:rsidP="008E3735">
            <w:pPr>
              <w:pStyle w:val="ListParagraph"/>
              <w:numPr>
                <w:ilvl w:val="0"/>
                <w:numId w:val="13"/>
              </w:numPr>
              <w:spacing w:before="60" w:after="60" w:line="276" w:lineRule="auto"/>
              <w:ind w:left="318" w:hanging="284"/>
              <w:rPr>
                <w:sz w:val="20"/>
                <w:lang w:val="hy-AM"/>
              </w:rPr>
            </w:pPr>
            <w:r w:rsidRPr="002D0EC3">
              <w:rPr>
                <w:sz w:val="20"/>
                <w:lang w:val="hy-AM"/>
              </w:rPr>
              <w:t>Բնական պաշարների արդյունավետ և թափանցիկ կառավարման դեպքում երկիրը կարող է ստանալ տնտեսական արդյունքներ, որոնք կօգնեն ապահովել տնտեսական աճ:</w:t>
            </w:r>
          </w:p>
        </w:tc>
      </w:tr>
    </w:tbl>
    <w:p w14:paraId="6469E240" w14:textId="54E71559" w:rsidR="008E3735" w:rsidRDefault="008E3735" w:rsidP="008E3735">
      <w:pPr>
        <w:spacing w:before="240"/>
        <w:rPr>
          <w:lang w:val="hy-AM"/>
        </w:rPr>
      </w:pPr>
      <w:r w:rsidRPr="00F41E5E">
        <w:rPr>
          <w:b/>
          <w:lang w:val="hy-AM"/>
        </w:rPr>
        <w:t xml:space="preserve">2018-2021թթ. ընթացքում </w:t>
      </w:r>
      <w:r>
        <w:rPr>
          <w:b/>
          <w:lang w:val="hy-AM"/>
        </w:rPr>
        <w:t>մշակող արդյունաբերության</w:t>
      </w:r>
      <w:r w:rsidRPr="00F41E5E">
        <w:rPr>
          <w:b/>
          <w:lang w:val="hy-AM"/>
        </w:rPr>
        <w:t xml:space="preserve"> վիճակագրությ</w:t>
      </w:r>
      <w:r>
        <w:rPr>
          <w:b/>
          <w:lang w:val="hy-AM"/>
        </w:rPr>
        <w:t>ան ուսումնասիրությունը</w:t>
      </w:r>
      <w:r w:rsidRPr="00F41E5E">
        <w:rPr>
          <w:b/>
          <w:lang w:val="hy-AM"/>
        </w:rPr>
        <w:t xml:space="preserve"> ցույց է տալիս, որ ՀՀ կառավարությանը չի հաջողվել որևէ առաջընթաց գրանցել </w:t>
      </w:r>
      <w:r>
        <w:rPr>
          <w:b/>
          <w:lang w:val="hy-AM"/>
        </w:rPr>
        <w:t xml:space="preserve">նաև </w:t>
      </w:r>
      <w:r w:rsidRPr="00F41E5E">
        <w:rPr>
          <w:b/>
          <w:lang w:val="hy-AM"/>
        </w:rPr>
        <w:t xml:space="preserve">այս </w:t>
      </w:r>
      <w:r>
        <w:rPr>
          <w:b/>
          <w:lang w:val="hy-AM"/>
        </w:rPr>
        <w:t>ուղղությամբ</w:t>
      </w:r>
      <w:r w:rsidRPr="00F41E5E">
        <w:rPr>
          <w:b/>
          <w:lang w:val="hy-AM"/>
        </w:rPr>
        <w:t>:</w:t>
      </w:r>
    </w:p>
    <w:p w14:paraId="4D199E6C" w14:textId="5929A6DA" w:rsidR="008E3735" w:rsidRDefault="008E3735" w:rsidP="008E3735">
      <w:pPr>
        <w:spacing w:before="240"/>
        <w:rPr>
          <w:lang w:val="hy-AM"/>
        </w:rPr>
      </w:pPr>
      <w:r>
        <w:rPr>
          <w:lang w:val="hy-AM"/>
        </w:rPr>
        <w:t>Մշակող արդյունաբերության համախառն արտադրանքի աճի տեմպը 2018-2019թթ. ունեցել է դանդաղման միտում, ինչի արդյունքում 2019թ. գրանցված 9.5</w:t>
      </w:r>
      <w:r w:rsidRPr="00186240">
        <w:rPr>
          <w:lang w:val="hy-AM"/>
        </w:rPr>
        <w:t>%</w:t>
      </w:r>
      <w:r>
        <w:rPr>
          <w:lang w:val="hy-AM"/>
        </w:rPr>
        <w:t xml:space="preserve"> աճը ցածր է եղել 2017թ. աճից շուրջ 2.3 տոկոսային կետով: 2020 թվականին մշակող արդյունաբերության ոլորտում գրանցվել է 3.6</w:t>
      </w:r>
      <w:r w:rsidRPr="00186240">
        <w:rPr>
          <w:lang w:val="hy-AM"/>
        </w:rPr>
        <w:t>%</w:t>
      </w:r>
      <w:r>
        <w:rPr>
          <w:lang w:val="hy-AM"/>
        </w:rPr>
        <w:t xml:space="preserve"> անկում: Ընդ որում, </w:t>
      </w:r>
      <w:r w:rsidR="002A6BCD">
        <w:rPr>
          <w:lang w:val="hy-AM"/>
        </w:rPr>
        <w:t>ո</w:t>
      </w:r>
      <w:r>
        <w:rPr>
          <w:lang w:val="hy-AM"/>
        </w:rPr>
        <w:t>լորտի անկումը շարունակվել է նաև 2021թ. առաջին կիսամյակում, ինչի արդյունքում հետճգնաժամային տարվա հունվար-հունիս ամիսների արդյունքներով մշակող արդյունաբերության համախառն արտադրանքը կրճատվել է 4.5</w:t>
      </w:r>
      <w:r w:rsidRPr="00186240">
        <w:rPr>
          <w:lang w:val="hy-AM"/>
        </w:rPr>
        <w:t>%-</w:t>
      </w:r>
      <w:r>
        <w:rPr>
          <w:lang w:val="hy-AM"/>
        </w:rPr>
        <w:t>ով` այն էլ 2020թ. համապատասխան ժամանակահատավածի 6.3</w:t>
      </w:r>
      <w:r w:rsidRPr="00186240">
        <w:rPr>
          <w:lang w:val="hy-AM"/>
        </w:rPr>
        <w:t>%</w:t>
      </w:r>
      <w:r>
        <w:rPr>
          <w:lang w:val="hy-AM"/>
        </w:rPr>
        <w:t xml:space="preserve"> խոր անկումից հետո</w:t>
      </w:r>
      <w:r w:rsidR="00DE78A4">
        <w:rPr>
          <w:rStyle w:val="FootnoteReference"/>
          <w:lang w:val="hy-AM"/>
        </w:rPr>
        <w:footnoteReference w:id="25"/>
      </w:r>
      <w:r>
        <w:rPr>
          <w:lang w:val="hy-AM"/>
        </w:rPr>
        <w:t>: Այսինքն</w:t>
      </w:r>
      <w:r w:rsidR="0060327C" w:rsidRPr="008D325C">
        <w:rPr>
          <w:lang w:val="hy-AM"/>
        </w:rPr>
        <w:t>՝</w:t>
      </w:r>
      <w:r>
        <w:rPr>
          <w:lang w:val="hy-AM"/>
        </w:rPr>
        <w:t xml:space="preserve"> նախաճգնաժամային տարվա </w:t>
      </w:r>
      <w:r w:rsidRPr="00186240">
        <w:rPr>
          <w:lang w:val="hy-AM"/>
        </w:rPr>
        <w:t>(</w:t>
      </w:r>
      <w:r>
        <w:rPr>
          <w:lang w:val="hy-AM"/>
        </w:rPr>
        <w:t>2019թ.</w:t>
      </w:r>
      <w:r w:rsidRPr="00186240">
        <w:rPr>
          <w:lang w:val="hy-AM"/>
        </w:rPr>
        <w:t>)</w:t>
      </w:r>
      <w:r>
        <w:rPr>
          <w:lang w:val="hy-AM"/>
        </w:rPr>
        <w:t xml:space="preserve"> առաջին կիսամյակի համեմատ մշակող արդյունաբերության ոլորտը 2021թ. առաջին կիսամյակի արդյունքներով ոչ միայն չի վերականգնվել, այլև կրճատվել է շուրջ 10.5</w:t>
      </w:r>
      <w:r w:rsidRPr="00186240">
        <w:rPr>
          <w:lang w:val="hy-AM"/>
        </w:rPr>
        <w:t>%-</w:t>
      </w:r>
      <w:r>
        <w:rPr>
          <w:lang w:val="hy-AM"/>
        </w:rPr>
        <w:t xml:space="preserve">ով: </w:t>
      </w:r>
    </w:p>
    <w:p w14:paraId="11730628" w14:textId="6BF96BC0" w:rsidR="003011A5" w:rsidRDefault="008E3735" w:rsidP="008E3735">
      <w:pPr>
        <w:spacing w:before="240"/>
        <w:rPr>
          <w:b/>
          <w:lang w:val="hy-AM"/>
        </w:rPr>
      </w:pPr>
      <w:r w:rsidRPr="00DE6B16">
        <w:rPr>
          <w:b/>
          <w:lang w:val="hy-AM"/>
        </w:rPr>
        <w:t>Ստացվում է, որ ՀՀ կառավարությունը</w:t>
      </w:r>
      <w:r w:rsidR="0060327C" w:rsidRPr="008D325C">
        <w:rPr>
          <w:b/>
          <w:lang w:val="hy-AM"/>
        </w:rPr>
        <w:t>,</w:t>
      </w:r>
      <w:r w:rsidRPr="00DE6B16">
        <w:rPr>
          <w:b/>
          <w:lang w:val="hy-AM"/>
        </w:rPr>
        <w:t xml:space="preserve"> հակառակ սեփական նպատակադրումների</w:t>
      </w:r>
      <w:r w:rsidR="0060327C" w:rsidRPr="008D325C">
        <w:rPr>
          <w:b/>
          <w:lang w:val="hy-AM"/>
        </w:rPr>
        <w:t>,</w:t>
      </w:r>
      <w:r w:rsidRPr="00DE6B16">
        <w:rPr>
          <w:b/>
          <w:lang w:val="hy-AM"/>
        </w:rPr>
        <w:t xml:space="preserve"> չի կարողացել ապահովել ոլորտային այնպիսի քաղաքականություն, որը կնպաստեր մշակող արդյունաբերության զարգացմանը և ՀՀ տնտեսական աճի կառուցվածքային բարելավմանը:</w:t>
      </w:r>
      <w:r>
        <w:rPr>
          <w:lang w:val="hy-AM"/>
        </w:rPr>
        <w:t xml:space="preserve"> </w:t>
      </w:r>
      <w:r w:rsidRPr="00DE6B16">
        <w:rPr>
          <w:b/>
          <w:lang w:val="hy-AM"/>
        </w:rPr>
        <w:t>Ավելին, վերջին զարգացումները փաստում են, որ մշակող արդյունաբերության ոլորտը շարունակում է հետընթաց ապրել` վնասելով ինչպես ՀՀ տնտեսության վերականգնման գործընթացին, այնպես էլ երկարաժամկետ բարձրորակ տնտեսական աճ ունենալու հեռանկարին:</w:t>
      </w:r>
    </w:p>
    <w:p w14:paraId="383F430F" w14:textId="77777777" w:rsidR="00D00797" w:rsidRPr="002D0EC3" w:rsidRDefault="00D00797" w:rsidP="008E3735">
      <w:pPr>
        <w:spacing w:before="240"/>
        <w:rPr>
          <w:b/>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1DA10A8D" w14:textId="77777777" w:rsidTr="00FC2CE7">
        <w:tc>
          <w:tcPr>
            <w:tcW w:w="9062" w:type="dxa"/>
            <w:shd w:val="clear" w:color="auto" w:fill="EDEDED" w:themeFill="accent3" w:themeFillTint="33"/>
          </w:tcPr>
          <w:p w14:paraId="16B274BA" w14:textId="77777777" w:rsidR="008E3735" w:rsidRPr="009A27F6" w:rsidRDefault="008E3735" w:rsidP="00FC2CE7">
            <w:pPr>
              <w:spacing w:before="60" w:after="60" w:line="276" w:lineRule="auto"/>
              <w:jc w:val="center"/>
              <w:rPr>
                <w:color w:val="00B0F0"/>
                <w:sz w:val="22"/>
                <w:lang w:val="hy-AM"/>
              </w:rPr>
            </w:pPr>
            <w:r w:rsidRPr="009A27F6">
              <w:rPr>
                <w:color w:val="00B0F0"/>
                <w:sz w:val="22"/>
                <w:lang w:val="hy-AM"/>
              </w:rPr>
              <w:lastRenderedPageBreak/>
              <w:t>ՀՀ կառավարության 2021թ. ծրագիր</w:t>
            </w:r>
          </w:p>
          <w:p w14:paraId="5734BF70" w14:textId="77777777" w:rsidR="008E3735" w:rsidRPr="00186240" w:rsidRDefault="008E3735" w:rsidP="00FC2CE7">
            <w:pPr>
              <w:spacing w:before="60" w:after="60" w:line="276" w:lineRule="auto"/>
              <w:ind w:firstLine="596"/>
              <w:rPr>
                <w:sz w:val="20"/>
                <w:lang w:val="hy-AM"/>
              </w:rPr>
            </w:pPr>
            <w:r w:rsidRPr="0051466E">
              <w:rPr>
                <w:sz w:val="20"/>
                <w:lang w:val="hy-AM"/>
              </w:rPr>
              <w:t xml:space="preserve">Մշակող արդյունաբերության զարգացման համար Կառավարությունը թիրախավորում է </w:t>
            </w:r>
            <w:r w:rsidRPr="0051466E">
              <w:rPr>
                <w:b/>
                <w:sz w:val="20"/>
                <w:lang w:val="hy-AM"/>
              </w:rPr>
              <w:t>մշակող արդյունաբերության դերը ՀՆԱ-ի մեջ հասցնել առնվազն 15</w:t>
            </w:r>
            <w:r w:rsidRPr="00186240">
              <w:rPr>
                <w:b/>
                <w:sz w:val="20"/>
                <w:lang w:val="hy-AM"/>
              </w:rPr>
              <w:t>%-</w:t>
            </w:r>
            <w:r w:rsidRPr="0051466E">
              <w:rPr>
                <w:b/>
                <w:sz w:val="20"/>
                <w:lang w:val="hy-AM"/>
              </w:rPr>
              <w:t>ի:</w:t>
            </w:r>
          </w:p>
        </w:tc>
      </w:tr>
    </w:tbl>
    <w:p w14:paraId="4BE2C7F2" w14:textId="6B81610B" w:rsidR="00BD1433" w:rsidRPr="008F5026" w:rsidRDefault="008E3735" w:rsidP="00762E01">
      <w:pPr>
        <w:spacing w:before="240"/>
        <w:rPr>
          <w:lang w:val="hy-AM"/>
        </w:rPr>
      </w:pPr>
      <w:r w:rsidRPr="00D046C0">
        <w:rPr>
          <w:b/>
          <w:lang w:val="hy-AM"/>
        </w:rPr>
        <w:t>ՀՀ կառավարության 2021թ. ծրագրի թիրախը</w:t>
      </w:r>
      <w:r>
        <w:rPr>
          <w:b/>
          <w:lang w:val="hy-AM"/>
        </w:rPr>
        <w:t xml:space="preserve"> </w:t>
      </w:r>
      <w:r w:rsidRPr="00D046C0">
        <w:rPr>
          <w:b/>
          <w:lang w:val="hy-AM"/>
        </w:rPr>
        <w:t>որոշ հարցեր է առաջացնում, որոնց մասին ՀՀ կառավարությունը լռում է:</w:t>
      </w:r>
      <w:r>
        <w:rPr>
          <w:lang w:val="hy-AM"/>
        </w:rPr>
        <w:t xml:space="preserve"> Այսպես, մշակող արդյունաբերության դերը ՀՆԱ-ում առնվազն 15</w:t>
      </w:r>
      <w:r w:rsidRPr="00186240">
        <w:rPr>
          <w:lang w:val="hy-AM"/>
        </w:rPr>
        <w:t>%</w:t>
      </w:r>
      <w:r>
        <w:rPr>
          <w:lang w:val="hy-AM"/>
        </w:rPr>
        <w:t xml:space="preserve"> հասցնելու հեռանկարը ՀՀ կառավարությունը 2021թ. ծրագրում անուղղակիորեն պայմանավորում է այն հանգամանքով, որ </w:t>
      </w:r>
      <w:r w:rsidR="00694609">
        <w:rPr>
          <w:lang w:val="hy-AM"/>
        </w:rPr>
        <w:t xml:space="preserve">համաձայն ՀՀ կառավարության` </w:t>
      </w:r>
      <w:r>
        <w:rPr>
          <w:lang w:val="hy-AM"/>
        </w:rPr>
        <w:t xml:space="preserve">2020-ին մշակող արդյունաբերության </w:t>
      </w:r>
      <w:r w:rsidR="00BD1433">
        <w:rPr>
          <w:lang w:val="hy-AM"/>
        </w:rPr>
        <w:t xml:space="preserve">կշիռը ՀՆԱ-ում </w:t>
      </w:r>
      <w:r>
        <w:rPr>
          <w:lang w:val="hy-AM"/>
        </w:rPr>
        <w:t>շարունակել է ընդլայնվել</w:t>
      </w:r>
      <w:r w:rsidR="00B25210">
        <w:rPr>
          <w:lang w:val="hy-AM"/>
        </w:rPr>
        <w:t xml:space="preserve"> </w:t>
      </w:r>
      <w:r>
        <w:rPr>
          <w:lang w:val="hy-AM"/>
        </w:rPr>
        <w:t>և</w:t>
      </w:r>
      <w:r w:rsidR="00694609">
        <w:rPr>
          <w:lang w:val="hy-AM"/>
        </w:rPr>
        <w:t xml:space="preserve"> </w:t>
      </w:r>
      <w:r>
        <w:rPr>
          <w:lang w:val="hy-AM"/>
        </w:rPr>
        <w:t>վերջին 9 տարիների կտրվածքով</w:t>
      </w:r>
      <w:r w:rsidR="00142DCB">
        <w:rPr>
          <w:lang w:val="hy-AM"/>
        </w:rPr>
        <w:t xml:space="preserve"> 2020-ին</w:t>
      </w:r>
      <w:r>
        <w:rPr>
          <w:lang w:val="hy-AM"/>
        </w:rPr>
        <w:t xml:space="preserve"> հասել է աննախադեպ մակարդակի` 12.4</w:t>
      </w:r>
      <w:r w:rsidRPr="00186240">
        <w:rPr>
          <w:lang w:val="hy-AM"/>
        </w:rPr>
        <w:t>%</w:t>
      </w:r>
      <w:r w:rsidR="00B057AC" w:rsidRPr="008D325C">
        <w:rPr>
          <w:lang w:val="hy-AM"/>
        </w:rPr>
        <w:t>-ի</w:t>
      </w:r>
      <w:r w:rsidRPr="00186240">
        <w:rPr>
          <w:lang w:val="hy-AM"/>
        </w:rPr>
        <w:t xml:space="preserve">: </w:t>
      </w:r>
      <w:r w:rsidR="00BD1433">
        <w:rPr>
          <w:lang w:val="hy-AM"/>
        </w:rPr>
        <w:t>Սակայն պետք է արձանագրե</w:t>
      </w:r>
      <w:r w:rsidR="00B057AC" w:rsidRPr="008D325C">
        <w:rPr>
          <w:lang w:val="hy-AM"/>
        </w:rPr>
        <w:t>լ</w:t>
      </w:r>
      <w:r w:rsidR="00BD1433">
        <w:rPr>
          <w:lang w:val="hy-AM"/>
        </w:rPr>
        <w:t xml:space="preserve">, որ </w:t>
      </w:r>
      <w:r w:rsidR="00EC3BFC">
        <w:rPr>
          <w:lang w:val="hy-AM"/>
        </w:rPr>
        <w:t>2020-ի</w:t>
      </w:r>
      <w:r w:rsidR="00142DCB">
        <w:rPr>
          <w:lang w:val="hy-AM"/>
        </w:rPr>
        <w:t xml:space="preserve"> ցուցանիշը «հաջողվել» է ապահովել բացառապես պայմանավորված տնտեսության մյուս ճյուղերի կրճատումներով: Ուստի, մշակող արդյունաբերության դերը ՀՆԱ-ում 2020-ին «ընդլայնվել» է ոչ թե ոլորտի աճի շնորհիվ, այլ տնտեսական բացասական զարգացումների պատճառով: Հարց է առաջանում, թե ինչո</w:t>
      </w:r>
      <w:r w:rsidR="00B057AC" w:rsidRPr="008D325C">
        <w:rPr>
          <w:lang w:val="hy-AM"/>
        </w:rPr>
        <w:t>՞</w:t>
      </w:r>
      <w:r w:rsidR="00142DCB">
        <w:rPr>
          <w:lang w:val="hy-AM"/>
        </w:rPr>
        <w:t>ւ է ՀՀ կառավարությունը 12.4</w:t>
      </w:r>
      <w:r w:rsidR="00142DCB" w:rsidRPr="00186240">
        <w:rPr>
          <w:lang w:val="hy-AM"/>
        </w:rPr>
        <w:t>%</w:t>
      </w:r>
      <w:r w:rsidR="00142DCB">
        <w:rPr>
          <w:lang w:val="hy-AM"/>
        </w:rPr>
        <w:t xml:space="preserve"> մակարդակը համարում ճյուղի ընդլայնում և արդյո</w:t>
      </w:r>
      <w:r w:rsidR="00B057AC" w:rsidRPr="008D325C">
        <w:rPr>
          <w:lang w:val="hy-AM"/>
        </w:rPr>
        <w:t>՞</w:t>
      </w:r>
      <w:r w:rsidR="00142DCB">
        <w:rPr>
          <w:lang w:val="hy-AM"/>
        </w:rPr>
        <w:t>ք դրա կշիռը ՀՆԱ-ում առնվազն 15</w:t>
      </w:r>
      <w:r w:rsidR="00142DCB" w:rsidRPr="00186240">
        <w:rPr>
          <w:lang w:val="hy-AM"/>
        </w:rPr>
        <w:t>%</w:t>
      </w:r>
      <w:r w:rsidR="00142DCB">
        <w:rPr>
          <w:lang w:val="hy-AM"/>
        </w:rPr>
        <w:t xml:space="preserve">-ի հասցնելու նպատակադրումը </w:t>
      </w:r>
      <w:r w:rsidR="00B1522A">
        <w:rPr>
          <w:lang w:val="hy-AM"/>
        </w:rPr>
        <w:t>վերջինս</w:t>
      </w:r>
      <w:r w:rsidR="00142DCB">
        <w:rPr>
          <w:lang w:val="hy-AM"/>
        </w:rPr>
        <w:t xml:space="preserve"> պատրաստվում է իրականացնել նույն տրամաբանությամբ` տնտեսության մյուս ճյուղերի կրճատումների հաշվին: </w:t>
      </w:r>
    </w:p>
    <w:p w14:paraId="75E1CCD2" w14:textId="72876144" w:rsidR="008E3735" w:rsidRDefault="008E3735" w:rsidP="008E3735">
      <w:pPr>
        <w:spacing w:before="240"/>
        <w:rPr>
          <w:lang w:val="hy-AM"/>
        </w:rPr>
      </w:pPr>
      <w:r w:rsidRPr="003B4617">
        <w:rPr>
          <w:b/>
          <w:lang w:val="hy-AM"/>
        </w:rPr>
        <w:t xml:space="preserve">Ընդ որում, արդեն 2021թ. առաջին կիսամյակի արդյունքներով նկատելի է </w:t>
      </w:r>
      <w:r w:rsidR="00EC3BFC" w:rsidRPr="003B4617">
        <w:rPr>
          <w:b/>
          <w:lang w:val="hy-AM"/>
        </w:rPr>
        <w:t xml:space="preserve">ՀՆԱ-ում </w:t>
      </w:r>
      <w:r w:rsidRPr="003B4617">
        <w:rPr>
          <w:b/>
          <w:lang w:val="hy-AM"/>
        </w:rPr>
        <w:t>մշակող արդյունաբերության կշռի անկում:</w:t>
      </w:r>
      <w:r>
        <w:rPr>
          <w:lang w:val="hy-AM"/>
        </w:rPr>
        <w:t xml:space="preserve"> Մասնավորապես, եթե 2020թ. առաջին կիսամյակում նշված ցուցանիշը կազմում էր 12.1</w:t>
      </w:r>
      <w:r w:rsidRPr="00186240">
        <w:rPr>
          <w:lang w:val="hy-AM"/>
        </w:rPr>
        <w:t xml:space="preserve">%, </w:t>
      </w:r>
      <w:r>
        <w:rPr>
          <w:lang w:val="hy-AM"/>
        </w:rPr>
        <w:t>2021թ. առաջին կիսամյակում այն կրճատվել է 1.6 տոկոսային կետով և կազմել 10.5</w:t>
      </w:r>
      <w:r w:rsidRPr="00186240">
        <w:rPr>
          <w:lang w:val="hy-AM"/>
        </w:rPr>
        <w:t xml:space="preserve">%: </w:t>
      </w:r>
      <w:r>
        <w:rPr>
          <w:lang w:val="hy-AM"/>
        </w:rPr>
        <w:t>Ընդ որում, ցուցանիշի անկումը պայմանավորված է մշակող արդյունաբերության արտադրանքի շարունակական կրճատմամբ, որը 2021թ. առաջին կիսամյակի վերջում կազմել է -4.5</w:t>
      </w:r>
      <w:r w:rsidRPr="00186240">
        <w:rPr>
          <w:lang w:val="hy-AM"/>
        </w:rPr>
        <w:t xml:space="preserve">%: </w:t>
      </w:r>
    </w:p>
    <w:p w14:paraId="727B80A2" w14:textId="6AD110BC" w:rsidR="008E3735" w:rsidRDefault="008E3735" w:rsidP="008E3735">
      <w:pPr>
        <w:spacing w:before="240"/>
        <w:rPr>
          <w:b/>
          <w:lang w:val="hy-AM"/>
        </w:rPr>
      </w:pPr>
      <w:r w:rsidRPr="00535D9B">
        <w:rPr>
          <w:b/>
          <w:lang w:val="hy-AM"/>
        </w:rPr>
        <w:t>Ամփոփելով</w:t>
      </w:r>
      <w:r w:rsidR="00B057AC" w:rsidRPr="008D325C">
        <w:rPr>
          <w:b/>
          <w:lang w:val="hy-AM"/>
        </w:rPr>
        <w:t>՝</w:t>
      </w:r>
      <w:r w:rsidRPr="00535D9B">
        <w:rPr>
          <w:b/>
          <w:lang w:val="hy-AM"/>
        </w:rPr>
        <w:t xml:space="preserve"> կարող ենք նշել, որ ՀՀ կառավարության 2021թ. նպատակադրումը մշակող արդյունաբերության ոլորտը խթանելու հարցում մտահոգիչ է` մի կողմից պայմանավորված այն հանգամանքով, որ ՀՀ </w:t>
      </w:r>
      <w:r w:rsidR="00E1483F" w:rsidRPr="00535D9B">
        <w:rPr>
          <w:b/>
          <w:lang w:val="hy-AM"/>
        </w:rPr>
        <w:t>կառավարությ</w:t>
      </w:r>
      <w:r w:rsidR="00E1483F">
        <w:rPr>
          <w:b/>
          <w:lang w:val="hy-AM"/>
        </w:rPr>
        <w:t>ու</w:t>
      </w:r>
      <w:r w:rsidR="00E1483F" w:rsidRPr="00535D9B">
        <w:rPr>
          <w:b/>
          <w:lang w:val="hy-AM"/>
        </w:rPr>
        <w:t>ն</w:t>
      </w:r>
      <w:r w:rsidR="00E1483F">
        <w:rPr>
          <w:b/>
          <w:lang w:val="hy-AM"/>
        </w:rPr>
        <w:t>ը ձեռքբերում է համարում տնտեսության այլ ճյուղերի կրճատումների հաշվին մշակող արդյունաբերության կշռի ավելացումը, և</w:t>
      </w:r>
      <w:r w:rsidR="00E1483F" w:rsidRPr="00535D9B">
        <w:rPr>
          <w:b/>
          <w:lang w:val="hy-AM"/>
        </w:rPr>
        <w:t xml:space="preserve"> </w:t>
      </w:r>
      <w:r w:rsidRPr="00535D9B">
        <w:rPr>
          <w:b/>
          <w:lang w:val="hy-AM"/>
        </w:rPr>
        <w:t>մյուս կողմից` վերջին տարիների զարգացումները փաստում են, որ ՀՀ կառավարությունը ձախողել է ոլորտային քաղաքականությունը: Նախկինում գրանցած փորձը թույլ չի տալիս լավատեսությամբ լցվել նշված թիրախի</w:t>
      </w:r>
      <w:r w:rsidR="00A553B3">
        <w:rPr>
          <w:b/>
          <w:lang w:val="hy-AM"/>
        </w:rPr>
        <w:t xml:space="preserve">ն </w:t>
      </w:r>
      <w:r w:rsidRPr="00535D9B">
        <w:rPr>
          <w:b/>
          <w:lang w:val="hy-AM"/>
        </w:rPr>
        <w:t>հասնելու հնարավորության հանդեպ` այն էլ հետճգնաժամային տարում շարունակվող բացասական զարգացումների պայմաններում:</w:t>
      </w:r>
    </w:p>
    <w:p w14:paraId="56FE8643" w14:textId="68F01203" w:rsidR="00226367" w:rsidRPr="008F5026" w:rsidRDefault="00066E43" w:rsidP="00226367">
      <w:pPr>
        <w:spacing w:before="240"/>
        <w:rPr>
          <w:lang w:val="hy-AM"/>
        </w:rPr>
      </w:pPr>
      <w:r w:rsidRPr="008F5026">
        <w:rPr>
          <w:b/>
          <w:lang w:val="hy-AM"/>
        </w:rPr>
        <w:lastRenderedPageBreak/>
        <w:t>Հանքարդյունաբերության ոլորտում ևս ՀՀ կառավարության որդեգրած տնտեսական քաղաքականությունն իրարամերժ զարգացումների է հանգեցրել:</w:t>
      </w:r>
      <w:r>
        <w:rPr>
          <w:lang w:val="hy-AM"/>
        </w:rPr>
        <w:t xml:space="preserve"> </w:t>
      </w:r>
      <w:r w:rsidR="00CB429B">
        <w:rPr>
          <w:lang w:val="hy-AM"/>
        </w:rPr>
        <w:t>Մասնավորապես,</w:t>
      </w:r>
      <w:r w:rsidR="00226367" w:rsidRPr="008F5026">
        <w:rPr>
          <w:lang w:val="hy-AM"/>
        </w:rPr>
        <w:t xml:space="preserve"> թեև </w:t>
      </w:r>
      <w:r w:rsidR="00226367" w:rsidRPr="00364C86">
        <w:rPr>
          <w:lang w:val="hy-AM"/>
        </w:rPr>
        <w:t>ՀՀ կառավարությունը</w:t>
      </w:r>
      <w:r w:rsidR="00226367" w:rsidRPr="00226367">
        <w:rPr>
          <w:lang w:val="hy-AM"/>
        </w:rPr>
        <w:t xml:space="preserve"> 2019թ. ծրագրում հանաքարդյունաբերությունը դիտարկում էր որպես տնտեսական աճի ապահովման օժանդակ միջոց` վերջինս</w:t>
      </w:r>
      <w:r w:rsidR="00843C7C">
        <w:rPr>
          <w:lang w:val="hy-AM"/>
        </w:rPr>
        <w:t xml:space="preserve"> 2018-ին չի ապահովել տնտեսական աճ, իսկ</w:t>
      </w:r>
      <w:r w:rsidR="00226367" w:rsidRPr="00226367">
        <w:rPr>
          <w:lang w:val="hy-AM"/>
        </w:rPr>
        <w:t xml:space="preserve"> 2019-2020թթ. </w:t>
      </w:r>
      <w:r w:rsidR="00B057AC" w:rsidRPr="008D325C">
        <w:rPr>
          <w:lang w:val="hy-AM"/>
        </w:rPr>
        <w:t>եղ</w:t>
      </w:r>
      <w:r w:rsidR="00B057AC" w:rsidRPr="008F5026">
        <w:rPr>
          <w:lang w:val="hy-AM"/>
        </w:rPr>
        <w:t xml:space="preserve">ել </w:t>
      </w:r>
      <w:r w:rsidR="00226367" w:rsidRPr="008F5026">
        <w:rPr>
          <w:lang w:val="hy-AM"/>
        </w:rPr>
        <w:t xml:space="preserve">է աճի ապահովման </w:t>
      </w:r>
      <w:r w:rsidR="00843C7C">
        <w:rPr>
          <w:lang w:val="hy-AM"/>
        </w:rPr>
        <w:t xml:space="preserve">ոչ թե օժանդակ, այլ </w:t>
      </w:r>
      <w:r w:rsidR="00F01E98">
        <w:rPr>
          <w:lang w:val="hy-AM"/>
        </w:rPr>
        <w:t>հիմնական</w:t>
      </w:r>
      <w:r w:rsidR="00226367" w:rsidRPr="008F5026">
        <w:rPr>
          <w:lang w:val="hy-AM"/>
        </w:rPr>
        <w:t xml:space="preserve"> </w:t>
      </w:r>
      <w:r w:rsidR="00F01E98">
        <w:rPr>
          <w:lang w:val="hy-AM"/>
        </w:rPr>
        <w:t>ուղղություններից</w:t>
      </w:r>
      <w:r w:rsidR="00226367" w:rsidRPr="008F5026">
        <w:rPr>
          <w:lang w:val="hy-AM"/>
        </w:rPr>
        <w:t xml:space="preserve"> մեկը:</w:t>
      </w:r>
      <w:r w:rsidR="0022189C">
        <w:rPr>
          <w:lang w:val="hy-AM"/>
        </w:rPr>
        <w:t xml:space="preserve"> </w:t>
      </w:r>
    </w:p>
    <w:p w14:paraId="13C65666" w14:textId="5CEFFD71" w:rsidR="00226367" w:rsidRDefault="00403A27" w:rsidP="00226367">
      <w:pPr>
        <w:spacing w:before="240"/>
        <w:rPr>
          <w:lang w:val="hy-AM"/>
        </w:rPr>
      </w:pPr>
      <w:r>
        <w:rPr>
          <w:lang w:val="hy-AM"/>
        </w:rPr>
        <w:t>Այսպես,</w:t>
      </w:r>
      <w:r w:rsidR="003C0897">
        <w:rPr>
          <w:lang w:val="hy-AM"/>
        </w:rPr>
        <w:t xml:space="preserve"> </w:t>
      </w:r>
      <w:r w:rsidR="00226367">
        <w:rPr>
          <w:lang w:val="hy-AM"/>
        </w:rPr>
        <w:t>2018թ. հանքարդյունաբերության ոլորտում գրանցվել է բավական խոր` 15.5</w:t>
      </w:r>
      <w:r w:rsidR="00226367" w:rsidRPr="00186240">
        <w:rPr>
          <w:lang w:val="hy-AM"/>
        </w:rPr>
        <w:t>%</w:t>
      </w:r>
      <w:r w:rsidR="00226367">
        <w:rPr>
          <w:lang w:val="hy-AM"/>
        </w:rPr>
        <w:t xml:space="preserve"> անկում, ինչի պատճառով հանքարդյունաբերությունը տնտեսական աճին ունեցել է 0.5 տոկոսային կետով բացասական նպաստում</w:t>
      </w:r>
      <w:r w:rsidR="00B76C2B">
        <w:rPr>
          <w:lang w:val="hy-AM"/>
        </w:rPr>
        <w:t xml:space="preserve">: 2019թ. </w:t>
      </w:r>
      <w:r w:rsidR="00226367">
        <w:rPr>
          <w:lang w:val="hy-AM"/>
        </w:rPr>
        <w:t xml:space="preserve">կեսերից ոլորտում նկատվել է աճի տեմպի կտրուկ արագացում, </w:t>
      </w:r>
      <w:r w:rsidR="00B142A7">
        <w:rPr>
          <w:lang w:val="hy-AM"/>
        </w:rPr>
        <w:t>և</w:t>
      </w:r>
      <w:r w:rsidR="00226367">
        <w:rPr>
          <w:lang w:val="hy-AM"/>
        </w:rPr>
        <w:t xml:space="preserve"> տարեվերջին </w:t>
      </w:r>
      <w:r w:rsidR="00B76C2B">
        <w:rPr>
          <w:lang w:val="hy-AM"/>
        </w:rPr>
        <w:t>գրանցվել է</w:t>
      </w:r>
      <w:r w:rsidR="00226367">
        <w:rPr>
          <w:lang w:val="hy-AM"/>
        </w:rPr>
        <w:t xml:space="preserve"> 37.1</w:t>
      </w:r>
      <w:r w:rsidR="00B76C2B" w:rsidRPr="00186240">
        <w:rPr>
          <w:lang w:val="hy-AM"/>
        </w:rPr>
        <w:t>% աճ</w:t>
      </w:r>
      <w:r w:rsidR="00226367">
        <w:rPr>
          <w:lang w:val="hy-AM"/>
        </w:rPr>
        <w:t xml:space="preserve">: Իսկ 2020 թվականի ընթացքում, թեև հանքարդյունաբերության աճի </w:t>
      </w:r>
      <w:r w:rsidR="009A58CF">
        <w:rPr>
          <w:lang w:val="hy-AM"/>
        </w:rPr>
        <w:t>տեմպը զգալիորեն</w:t>
      </w:r>
      <w:r w:rsidR="00226367">
        <w:rPr>
          <w:lang w:val="hy-AM"/>
        </w:rPr>
        <w:t xml:space="preserve"> </w:t>
      </w:r>
      <w:r w:rsidR="009A58CF">
        <w:rPr>
          <w:lang w:val="hy-AM"/>
        </w:rPr>
        <w:t>դանդաղել է</w:t>
      </w:r>
      <w:r w:rsidR="00226367">
        <w:rPr>
          <w:lang w:val="hy-AM"/>
        </w:rPr>
        <w:t>` այն շարունակել է մնալ դրական, և տարեվերջի արդյունքներով կազմել է 8.4</w:t>
      </w:r>
      <w:r w:rsidR="00226367" w:rsidRPr="00186240">
        <w:rPr>
          <w:lang w:val="hy-AM"/>
        </w:rPr>
        <w:t xml:space="preserve">%: </w:t>
      </w:r>
      <w:r w:rsidR="00226367">
        <w:rPr>
          <w:lang w:val="hy-AM"/>
        </w:rPr>
        <w:t xml:space="preserve">Արդյունքում հանքարդյունաբերությունը եղել է այն բացառիկ ոլորտներից մեկը, որը </w:t>
      </w:r>
      <w:r w:rsidR="00B142A7">
        <w:rPr>
          <w:lang w:val="hy-AM"/>
        </w:rPr>
        <w:t xml:space="preserve">2020-ին </w:t>
      </w:r>
      <w:r w:rsidR="00226367">
        <w:rPr>
          <w:lang w:val="hy-AM"/>
        </w:rPr>
        <w:t xml:space="preserve">դրական նպաստում է ունեցել ՀՆԱ-ի անկմանը` որպես այդպիսին դառնալով տնտեսական աճի ապահովման ոչ թե օժանդակ, այլ հիմնական միջոց: </w:t>
      </w:r>
    </w:p>
    <w:p w14:paraId="79B8FD93" w14:textId="7429668B" w:rsidR="004527AE" w:rsidRDefault="00226367" w:rsidP="00345A21">
      <w:pPr>
        <w:spacing w:before="240"/>
        <w:rPr>
          <w:lang w:val="hy-AM"/>
        </w:rPr>
      </w:pPr>
      <w:r>
        <w:rPr>
          <w:b/>
          <w:lang w:val="hy-AM"/>
        </w:rPr>
        <w:t>2021թ.</w:t>
      </w:r>
      <w:r w:rsidRPr="001764D9">
        <w:rPr>
          <w:b/>
          <w:lang w:val="hy-AM"/>
        </w:rPr>
        <w:t xml:space="preserve"> հունվար-</w:t>
      </w:r>
      <w:r w:rsidR="006C064D">
        <w:rPr>
          <w:b/>
          <w:lang w:val="hy-AM"/>
        </w:rPr>
        <w:t>սեպտեմբեր</w:t>
      </w:r>
      <w:r w:rsidRPr="001764D9">
        <w:rPr>
          <w:b/>
          <w:lang w:val="hy-AM"/>
        </w:rPr>
        <w:t xml:space="preserve"> ամիսների</w:t>
      </w:r>
      <w:r>
        <w:rPr>
          <w:b/>
          <w:lang w:val="hy-AM"/>
        </w:rPr>
        <w:t>ն</w:t>
      </w:r>
      <w:r w:rsidRPr="001764D9">
        <w:rPr>
          <w:b/>
          <w:lang w:val="hy-AM"/>
        </w:rPr>
        <w:t xml:space="preserve"> հանքարդյունաբերության ոլորտում </w:t>
      </w:r>
      <w:r w:rsidR="006C064D">
        <w:rPr>
          <w:b/>
          <w:lang w:val="hy-AM"/>
        </w:rPr>
        <w:t>գրանցված</w:t>
      </w:r>
      <w:r w:rsidRPr="001764D9">
        <w:rPr>
          <w:b/>
          <w:lang w:val="hy-AM"/>
        </w:rPr>
        <w:t xml:space="preserve"> </w:t>
      </w:r>
      <w:r w:rsidR="006C064D">
        <w:rPr>
          <w:b/>
          <w:lang w:val="hy-AM"/>
        </w:rPr>
        <w:t>տնտեսական ակտիվությունը բավական մտահոգիչ է</w:t>
      </w:r>
      <w:r w:rsidR="0015062E">
        <w:rPr>
          <w:rStyle w:val="FootnoteReference"/>
          <w:b/>
          <w:lang w:val="hy-AM"/>
        </w:rPr>
        <w:footnoteReference w:id="26"/>
      </w:r>
      <w:r w:rsidRPr="001764D9">
        <w:rPr>
          <w:b/>
          <w:lang w:val="hy-AM"/>
        </w:rPr>
        <w:t>:</w:t>
      </w:r>
      <w:r w:rsidR="00364C86">
        <w:rPr>
          <w:lang w:val="hy-AM"/>
        </w:rPr>
        <w:t xml:space="preserve"> </w:t>
      </w:r>
      <w:r w:rsidR="00510F8E">
        <w:rPr>
          <w:lang w:val="hy-AM"/>
        </w:rPr>
        <w:t>Մասնավորապես, 2021թ. մայիս</w:t>
      </w:r>
      <w:r w:rsidR="0093019E">
        <w:rPr>
          <w:lang w:val="hy-AM"/>
        </w:rPr>
        <w:t>ից</w:t>
      </w:r>
      <w:r w:rsidR="00510F8E">
        <w:rPr>
          <w:lang w:val="hy-AM"/>
        </w:rPr>
        <w:t xml:space="preserve"> սկսած հանքարդյունաբեր</w:t>
      </w:r>
      <w:r w:rsidR="0093019E">
        <w:rPr>
          <w:lang w:val="hy-AM"/>
        </w:rPr>
        <w:t>ական արտադրանքի</w:t>
      </w:r>
      <w:r w:rsidR="00510F8E">
        <w:rPr>
          <w:lang w:val="hy-AM"/>
        </w:rPr>
        <w:t xml:space="preserve"> ծավալների աճի տեմպ</w:t>
      </w:r>
      <w:r w:rsidR="0093019E">
        <w:rPr>
          <w:lang w:val="hy-AM"/>
        </w:rPr>
        <w:t>ի</w:t>
      </w:r>
      <w:r w:rsidR="00510F8E">
        <w:rPr>
          <w:lang w:val="hy-AM"/>
        </w:rPr>
        <w:t xml:space="preserve"> </w:t>
      </w:r>
      <w:r w:rsidR="004E76B9">
        <w:rPr>
          <w:lang w:val="hy-AM"/>
        </w:rPr>
        <w:t>անընդհատ</w:t>
      </w:r>
      <w:r w:rsidR="00510F8E">
        <w:rPr>
          <w:lang w:val="hy-AM"/>
        </w:rPr>
        <w:t xml:space="preserve"> </w:t>
      </w:r>
      <w:r w:rsidR="0093019E">
        <w:rPr>
          <w:lang w:val="hy-AM"/>
        </w:rPr>
        <w:t>դանդաղման</w:t>
      </w:r>
      <w:r w:rsidR="00510F8E">
        <w:rPr>
          <w:lang w:val="hy-AM"/>
        </w:rPr>
        <w:t xml:space="preserve"> </w:t>
      </w:r>
      <w:r w:rsidR="0093019E">
        <w:rPr>
          <w:lang w:val="hy-AM"/>
        </w:rPr>
        <w:t>արդյունքում</w:t>
      </w:r>
      <w:r w:rsidR="00510F8E">
        <w:rPr>
          <w:lang w:val="hy-AM"/>
        </w:rPr>
        <w:t xml:space="preserve"> հունվար-սեպտեմբերին նախորդ տարվա համապատասխան ժամանակահատվածի համեմատ կուտակային աճը </w:t>
      </w:r>
      <w:r w:rsidR="00B5723E">
        <w:rPr>
          <w:lang w:val="hy-AM"/>
        </w:rPr>
        <w:t>կազմել</w:t>
      </w:r>
      <w:r w:rsidR="00510F8E">
        <w:rPr>
          <w:lang w:val="hy-AM"/>
        </w:rPr>
        <w:t xml:space="preserve"> է գրեթե զրոյական` 0.1</w:t>
      </w:r>
      <w:r w:rsidR="00510F8E" w:rsidRPr="00186240">
        <w:rPr>
          <w:lang w:val="hy-AM"/>
        </w:rPr>
        <w:t>%</w:t>
      </w:r>
      <w:r w:rsidR="00D13ABD">
        <w:rPr>
          <w:lang w:val="hy-AM"/>
        </w:rPr>
        <w:t>`</w:t>
      </w:r>
      <w:r w:rsidR="00510F8E">
        <w:rPr>
          <w:lang w:val="hy-AM"/>
        </w:rPr>
        <w:t xml:space="preserve"> հունվար-ապրիլի </w:t>
      </w:r>
      <w:r w:rsidR="0093019E">
        <w:rPr>
          <w:lang w:val="hy-AM"/>
        </w:rPr>
        <w:t xml:space="preserve">համապատասխան ցուցանիշի </w:t>
      </w:r>
      <w:r w:rsidR="00510F8E">
        <w:rPr>
          <w:lang w:val="hy-AM"/>
        </w:rPr>
        <w:t>համեմատ դանդաղել</w:t>
      </w:r>
      <w:r w:rsidR="00D13ABD">
        <w:rPr>
          <w:lang w:val="hy-AM"/>
        </w:rPr>
        <w:t>ով</w:t>
      </w:r>
      <w:r w:rsidR="00510F8E">
        <w:rPr>
          <w:lang w:val="hy-AM"/>
        </w:rPr>
        <w:t xml:space="preserve"> շուրջ 8.7 տոկոսային կետով:</w:t>
      </w:r>
      <w:r w:rsidR="00A55AD6">
        <w:rPr>
          <w:lang w:val="hy-AM"/>
        </w:rPr>
        <w:t xml:space="preserve"> </w:t>
      </w:r>
    </w:p>
    <w:p w14:paraId="13A67C50" w14:textId="3E55B253" w:rsidR="004527AE" w:rsidRDefault="00B5723E" w:rsidP="00226367">
      <w:pPr>
        <w:spacing w:before="240"/>
        <w:rPr>
          <w:lang w:val="hy-AM"/>
        </w:rPr>
      </w:pPr>
      <w:r>
        <w:rPr>
          <w:lang w:val="hy-AM"/>
        </w:rPr>
        <w:t>Այս</w:t>
      </w:r>
      <w:r w:rsidR="00A55AD6">
        <w:rPr>
          <w:lang w:val="hy-AM"/>
        </w:rPr>
        <w:t xml:space="preserve"> զարգացումները պայմանավորված են</w:t>
      </w:r>
      <w:r w:rsidR="008B20CB">
        <w:rPr>
          <w:lang w:val="hy-AM"/>
        </w:rPr>
        <w:t xml:space="preserve"> </w:t>
      </w:r>
      <w:r w:rsidR="00A55AD6">
        <w:rPr>
          <w:lang w:val="hy-AM"/>
        </w:rPr>
        <w:t>հանքարդյունաբերության ամենախոշոր` մետաղական հանքաքարի արդյունահանման</w:t>
      </w:r>
      <w:r w:rsidR="00A55AD6" w:rsidRPr="00A55AD6">
        <w:rPr>
          <w:lang w:val="hy-AM"/>
        </w:rPr>
        <w:t xml:space="preserve"> </w:t>
      </w:r>
      <w:r w:rsidR="00A55AD6">
        <w:rPr>
          <w:lang w:val="hy-AM"/>
        </w:rPr>
        <w:t xml:space="preserve">ճյուղում </w:t>
      </w:r>
      <w:r w:rsidR="00364C86">
        <w:rPr>
          <w:lang w:val="hy-AM"/>
        </w:rPr>
        <w:t xml:space="preserve">մայիս-օգոստոս ամիսներին </w:t>
      </w:r>
      <w:r w:rsidR="001C6F2B">
        <w:rPr>
          <w:lang w:val="hy-AM"/>
        </w:rPr>
        <w:t xml:space="preserve">տնտեսական ակտիվության նախ` դանդաղմամբ, իսկ սեպտեմբերի արդյունքներով` արդեն իսկ անկումով: </w:t>
      </w:r>
      <w:r w:rsidR="008B20CB">
        <w:rPr>
          <w:lang w:val="hy-AM"/>
        </w:rPr>
        <w:t>Մասնավորապես, հունվար-ապրիլին նշված ուղղությամբ արտադրության ծավալների աճը կազմել է 8.2</w:t>
      </w:r>
      <w:r w:rsidR="008B20CB" w:rsidRPr="00186240">
        <w:rPr>
          <w:lang w:val="hy-AM"/>
        </w:rPr>
        <w:t xml:space="preserve">%, </w:t>
      </w:r>
      <w:r w:rsidR="008B20CB">
        <w:rPr>
          <w:lang w:val="hy-AM"/>
        </w:rPr>
        <w:t>հունվար-օգոստոսին արդեն իսկ բավական ցածր` 2.7</w:t>
      </w:r>
      <w:r w:rsidR="008B20CB" w:rsidRPr="00186240">
        <w:rPr>
          <w:lang w:val="hy-AM"/>
        </w:rPr>
        <w:t xml:space="preserve">%, </w:t>
      </w:r>
      <w:r w:rsidR="008B20CB">
        <w:rPr>
          <w:lang w:val="hy-AM"/>
        </w:rPr>
        <w:t>իսկ հունվար-սեպտեմբերին արտադրության ծավալները կրճատվել են շուրջ 0.6</w:t>
      </w:r>
      <w:r w:rsidR="008B20CB" w:rsidRPr="00186240">
        <w:rPr>
          <w:lang w:val="hy-AM"/>
        </w:rPr>
        <w:t>%-</w:t>
      </w:r>
      <w:r w:rsidR="008B20CB">
        <w:rPr>
          <w:lang w:val="hy-AM"/>
        </w:rPr>
        <w:t xml:space="preserve">ով: </w:t>
      </w:r>
    </w:p>
    <w:p w14:paraId="2232F431" w14:textId="734FD489" w:rsidR="008F7ABA" w:rsidRPr="00364C86" w:rsidRDefault="004527AE" w:rsidP="00226367">
      <w:pPr>
        <w:spacing w:before="240"/>
        <w:rPr>
          <w:lang w:val="hy-AM"/>
        </w:rPr>
      </w:pPr>
      <w:r>
        <w:rPr>
          <w:lang w:val="hy-AM"/>
        </w:rPr>
        <w:t xml:space="preserve">Նկատենք, որ մետաղական հանքաքարի արդյունահանման զգալի մասն ուղղվում է արտահանմանը, իսկ ՀՀ արտահանման կառուցվածքում այն </w:t>
      </w:r>
      <w:r>
        <w:rPr>
          <w:lang w:val="hy-AM"/>
        </w:rPr>
        <w:lastRenderedPageBreak/>
        <w:t xml:space="preserve">զբաղեցնում է բավական մեծ կշիռ: Դեռևս 2021թ. հուլիսին ՀՀ կառավարության նախաձեռնությամբ ՀՀ ԱԺ-ն ընդունեց օրենք, ինչի արդյունքում </w:t>
      </w:r>
      <w:r w:rsidRPr="005F1101">
        <w:rPr>
          <w:lang w:val="hy-AM"/>
        </w:rPr>
        <w:t>լիցենզավորման ճանապարհով էապես ավելաց</w:t>
      </w:r>
      <w:r>
        <w:rPr>
          <w:lang w:val="hy-AM"/>
        </w:rPr>
        <w:t>վեց</w:t>
      </w:r>
      <w:r w:rsidRPr="005F1101">
        <w:rPr>
          <w:lang w:val="hy-AM"/>
        </w:rPr>
        <w:t xml:space="preserve"> հանքահումքային արտադրանքի</w:t>
      </w:r>
      <w:r>
        <w:rPr>
          <w:lang w:val="hy-AM"/>
        </w:rPr>
        <w:t xml:space="preserve"> </w:t>
      </w:r>
      <w:r w:rsidRPr="00186240">
        <w:rPr>
          <w:lang w:val="hy-AM"/>
        </w:rPr>
        <w:t>(</w:t>
      </w:r>
      <w:r>
        <w:rPr>
          <w:lang w:val="hy-AM"/>
        </w:rPr>
        <w:t>այդ թվում</w:t>
      </w:r>
      <w:r w:rsidR="00603BE1">
        <w:rPr>
          <w:lang w:val="hy-AM"/>
        </w:rPr>
        <w:t>՝</w:t>
      </w:r>
      <w:r>
        <w:rPr>
          <w:lang w:val="hy-AM"/>
        </w:rPr>
        <w:t xml:space="preserve"> գլխավորապես մետաղական հանքաքարի</w:t>
      </w:r>
      <w:r w:rsidRPr="00186240">
        <w:rPr>
          <w:lang w:val="hy-AM"/>
        </w:rPr>
        <w:t>)</w:t>
      </w:r>
      <w:r w:rsidRPr="005F1101">
        <w:rPr>
          <w:lang w:val="hy-AM"/>
        </w:rPr>
        <w:t xml:space="preserve"> արտահանման պարագայում պետական բյուջե վճարվելիք գումարների ծավալը։</w:t>
      </w:r>
      <w:r>
        <w:rPr>
          <w:lang w:val="hy-AM"/>
        </w:rPr>
        <w:t xml:space="preserve"> Փաստ</w:t>
      </w:r>
      <w:r w:rsidR="00B057AC" w:rsidRPr="008D325C">
        <w:rPr>
          <w:lang w:val="hy-AM"/>
        </w:rPr>
        <w:t>որեն</w:t>
      </w:r>
      <w:r>
        <w:rPr>
          <w:lang w:val="hy-AM"/>
        </w:rPr>
        <w:t xml:space="preserve"> ստացվում է, որ ՀՀ կառավարության նախաձեռնած օրենսդրական փոփոխությանը հաջորդեց սեպտեմբերին մետաղական հանքաքարի արդյունահանման ծավալների անկում, </w:t>
      </w:r>
      <w:r w:rsidR="000A2BDE">
        <w:rPr>
          <w:lang w:val="hy-AM"/>
        </w:rPr>
        <w:t>ինչի հետևանքով</w:t>
      </w:r>
      <w:r>
        <w:rPr>
          <w:lang w:val="hy-AM"/>
        </w:rPr>
        <w:t xml:space="preserve"> ամբողջ </w:t>
      </w:r>
      <w:r w:rsidR="000A2BDE">
        <w:rPr>
          <w:lang w:val="hy-AM"/>
        </w:rPr>
        <w:t>հանքարդյունաբերության աճը գրեթե զրոյական է</w:t>
      </w:r>
      <w:r>
        <w:rPr>
          <w:lang w:val="hy-AM"/>
        </w:rPr>
        <w:t>:</w:t>
      </w:r>
      <w:r w:rsidR="00231D0D">
        <w:rPr>
          <w:lang w:val="hy-AM"/>
        </w:rPr>
        <w:t xml:space="preserve"> </w:t>
      </w:r>
      <w:r w:rsidR="00B16322">
        <w:rPr>
          <w:lang w:val="hy-AM"/>
        </w:rPr>
        <w:t>Ընդ որում, ն</w:t>
      </w:r>
      <w:r w:rsidR="00231D0D">
        <w:rPr>
          <w:lang w:val="hy-AM"/>
        </w:rPr>
        <w:t xml:space="preserve">շված </w:t>
      </w:r>
      <w:r w:rsidR="00ED4120">
        <w:rPr>
          <w:lang w:val="hy-AM"/>
        </w:rPr>
        <w:t xml:space="preserve">օրենսդրական </w:t>
      </w:r>
      <w:r w:rsidR="00231D0D">
        <w:rPr>
          <w:lang w:val="hy-AM"/>
        </w:rPr>
        <w:t xml:space="preserve">փոփոխությունը մտահոգիչ է երկու տեսանկյունից: </w:t>
      </w:r>
    </w:p>
    <w:p w14:paraId="6FC88C75" w14:textId="128244E7" w:rsidR="00852E2B" w:rsidRDefault="00231D0D" w:rsidP="00345A21">
      <w:pPr>
        <w:spacing w:before="240"/>
        <w:rPr>
          <w:b/>
          <w:lang w:val="hy-AM"/>
        </w:rPr>
      </w:pPr>
      <w:r>
        <w:rPr>
          <w:lang w:val="hy-AM"/>
        </w:rPr>
        <w:t>Առաջին հերթին, լիցենզավորումն իր տրամաբանությամբ չի հանդիսանում և չպետք է օգտագործվի որպես հարկահավաքության գործիք: Մյուս կողմից</w:t>
      </w:r>
      <w:r w:rsidR="00B057AC" w:rsidRPr="008D325C">
        <w:rPr>
          <w:lang w:val="hy-AM"/>
        </w:rPr>
        <w:t>՝</w:t>
      </w:r>
      <w:r>
        <w:rPr>
          <w:lang w:val="hy-AM"/>
        </w:rPr>
        <w:t xml:space="preserve"> ըստ էության կատարվող փոփոխությունները </w:t>
      </w:r>
      <w:r w:rsidRPr="00CD4A12">
        <w:rPr>
          <w:lang w:val="hy-AM"/>
        </w:rPr>
        <w:t>«Զանգեզուրի պղնձամոլիբդենային կոմբինատ» ՓԲԸ-</w:t>
      </w:r>
      <w:r>
        <w:rPr>
          <w:lang w:val="hy-AM"/>
        </w:rPr>
        <w:t>ի դեմ ուղղված քաղաքական ճնշումների հերթական դրսևորումն են</w:t>
      </w:r>
      <w:r>
        <w:rPr>
          <w:rStyle w:val="FootnoteReference"/>
          <w:lang w:val="hy-AM"/>
        </w:rPr>
        <w:footnoteReference w:id="27"/>
      </w:r>
      <w:r>
        <w:rPr>
          <w:lang w:val="hy-AM"/>
        </w:rPr>
        <w:t xml:space="preserve"> </w:t>
      </w:r>
      <w:r w:rsidRPr="00186240">
        <w:rPr>
          <w:lang w:val="hy-AM"/>
        </w:rPr>
        <w:t>(</w:t>
      </w:r>
      <w:r>
        <w:rPr>
          <w:lang w:val="hy-AM"/>
        </w:rPr>
        <w:t>որով էլ</w:t>
      </w:r>
      <w:r w:rsidR="006F6600">
        <w:rPr>
          <w:lang w:val="hy-AM"/>
        </w:rPr>
        <w:t xml:space="preserve"> կարելի է</w:t>
      </w:r>
      <w:r>
        <w:rPr>
          <w:lang w:val="hy-AM"/>
        </w:rPr>
        <w:t xml:space="preserve"> բացատր</w:t>
      </w:r>
      <w:r w:rsidR="006F6600">
        <w:rPr>
          <w:lang w:val="hy-AM"/>
        </w:rPr>
        <w:t>ել</w:t>
      </w:r>
      <w:r>
        <w:rPr>
          <w:lang w:val="hy-AM"/>
        </w:rPr>
        <w:t xml:space="preserve"> է նաև մայիս ամսից սկսած բացասական զարգացումները</w:t>
      </w:r>
      <w:r w:rsidRPr="00186240">
        <w:rPr>
          <w:lang w:val="hy-AM"/>
        </w:rPr>
        <w:t>)</w:t>
      </w:r>
      <w:r>
        <w:rPr>
          <w:lang w:val="hy-AM"/>
        </w:rPr>
        <w:t>: Վերջինս</w:t>
      </w:r>
      <w:r w:rsidRPr="00CD4A12">
        <w:rPr>
          <w:lang w:val="hy-AM"/>
        </w:rPr>
        <w:t xml:space="preserve"> </w:t>
      </w:r>
      <w:r>
        <w:rPr>
          <w:lang w:val="hy-AM"/>
        </w:rPr>
        <w:t>մետաղական հանքաքարի</w:t>
      </w:r>
      <w:r w:rsidRPr="00CD4A12">
        <w:rPr>
          <w:lang w:val="hy-AM"/>
        </w:rPr>
        <w:t xml:space="preserve"> ամենախոշոր </w:t>
      </w:r>
      <w:r>
        <w:rPr>
          <w:lang w:val="hy-AM"/>
        </w:rPr>
        <w:t xml:space="preserve">արդյունահանողն է, որն ապահովում է հանքարդյունաբերության ոլորտի ընդհանուր արդյունքի ավելի քան կեսը: </w:t>
      </w:r>
      <w:r w:rsidRPr="009F638A">
        <w:rPr>
          <w:b/>
          <w:lang w:val="hy-AM"/>
        </w:rPr>
        <w:t xml:space="preserve">Հետևաբար զարմանալի չէ, որ ՀՀ կառավարության վարած ոլորտային </w:t>
      </w:r>
      <w:r>
        <w:rPr>
          <w:b/>
          <w:lang w:val="hy-AM"/>
        </w:rPr>
        <w:t>տարօրինակ</w:t>
      </w:r>
      <w:r w:rsidRPr="009F638A">
        <w:rPr>
          <w:b/>
          <w:lang w:val="hy-AM"/>
        </w:rPr>
        <w:t xml:space="preserve"> քաղաքականության արդյունքում` այն էլ քաղաքական </w:t>
      </w:r>
      <w:r>
        <w:rPr>
          <w:b/>
          <w:lang w:val="hy-AM"/>
        </w:rPr>
        <w:t>ճնշումների պայմաններում</w:t>
      </w:r>
      <w:r w:rsidRPr="009F638A">
        <w:rPr>
          <w:b/>
          <w:lang w:val="hy-AM"/>
        </w:rPr>
        <w:t>, հանքարդյունաբերության ոլորտում գրանցվում է աճի տեմպի կտրուկ դանդաղում</w:t>
      </w:r>
      <w:r w:rsidR="00D67E63">
        <w:rPr>
          <w:b/>
          <w:lang w:val="hy-AM"/>
        </w:rPr>
        <w:t xml:space="preserve">, իսկ դրա ամենախոշոր ճյուղում` արդեն </w:t>
      </w:r>
      <w:r w:rsidR="00F330AC">
        <w:rPr>
          <w:b/>
          <w:lang w:val="hy-AM"/>
        </w:rPr>
        <w:t xml:space="preserve">իսկ </w:t>
      </w:r>
      <w:r w:rsidR="00D67E63">
        <w:rPr>
          <w:b/>
          <w:lang w:val="hy-AM"/>
        </w:rPr>
        <w:t>անկում</w:t>
      </w:r>
      <w:r w:rsidRPr="009F638A">
        <w:rPr>
          <w:b/>
          <w:lang w:val="hy-AM"/>
        </w:rPr>
        <w:t>:</w:t>
      </w:r>
      <w:r w:rsidR="00C2464A">
        <w:rPr>
          <w:b/>
          <w:lang w:val="hy-AM"/>
        </w:rPr>
        <w:t xml:space="preserve"> </w:t>
      </w:r>
      <w:r w:rsidR="00A876C0" w:rsidRPr="009F638A">
        <w:rPr>
          <w:b/>
          <w:lang w:val="hy-AM"/>
        </w:rPr>
        <w:t xml:space="preserve">Թեև ՀՀ կառավարության 2021թ. ծրագրում հանքարդյունաբերությունը չի նշվում որպես տնտեսական աճի ապահովման միջոց` առաջիկա տարիներին ոլորտի զարգացման հետ կապված մտահոգիչ ենք համարում ՀՀ կառավարության որդեգրած անհասկանալի քաղաքականությունը, </w:t>
      </w:r>
      <w:r w:rsidR="00C2464A">
        <w:rPr>
          <w:b/>
          <w:lang w:val="hy-AM"/>
        </w:rPr>
        <w:t xml:space="preserve">որի բացասական հետևանքներն արդեն նկատելի են: </w:t>
      </w:r>
    </w:p>
    <w:p w14:paraId="734D6A47" w14:textId="2A99FE6D" w:rsidR="00224F82" w:rsidRDefault="0032271B" w:rsidP="00224F82">
      <w:pPr>
        <w:spacing w:before="240"/>
        <w:rPr>
          <w:lang w:val="hy-AM"/>
        </w:rPr>
      </w:pPr>
      <w:r>
        <w:rPr>
          <w:b/>
          <w:lang w:val="hy-AM"/>
        </w:rPr>
        <w:t>Վերադառնալով տնտեսական աճի կառուցվածքին` ա</w:t>
      </w:r>
      <w:r w:rsidR="00224F82" w:rsidRPr="002D0EC3">
        <w:rPr>
          <w:b/>
          <w:lang w:val="hy-AM"/>
        </w:rPr>
        <w:t>րձանագրե</w:t>
      </w:r>
      <w:r w:rsidR="00872540" w:rsidRPr="008D325C">
        <w:rPr>
          <w:b/>
          <w:lang w:val="hy-AM"/>
        </w:rPr>
        <w:t>լ</w:t>
      </w:r>
      <w:r w:rsidR="00224F82" w:rsidRPr="002D0EC3">
        <w:rPr>
          <w:b/>
          <w:lang w:val="hy-AM"/>
        </w:rPr>
        <w:t xml:space="preserve">, որ արդյունաբերության </w:t>
      </w:r>
      <w:r>
        <w:rPr>
          <w:b/>
          <w:lang w:val="hy-AM"/>
        </w:rPr>
        <w:t xml:space="preserve">ոլորտում տնտեսական քաղաքականությունների </w:t>
      </w:r>
      <w:r w:rsidR="00224F82" w:rsidRPr="002D0EC3">
        <w:rPr>
          <w:b/>
          <w:lang w:val="hy-AM"/>
        </w:rPr>
        <w:t xml:space="preserve">ձախողման ֆոնին տնտեսական աճի ապահովման հիմնական ուղղությունը բաժին է հասել ծառայությունների ճյուղին: </w:t>
      </w:r>
      <w:r w:rsidR="00224F82" w:rsidRPr="005C5785">
        <w:rPr>
          <w:lang w:val="hy-AM"/>
        </w:rPr>
        <w:t>Ընդ որում</w:t>
      </w:r>
      <w:r w:rsidR="00224F82" w:rsidRPr="002D0EC3">
        <w:rPr>
          <w:lang w:val="hy-AM"/>
        </w:rPr>
        <w:t>, 2018-2020թթ. ընթացքում ծառայությունների կառուցվածքում տեղի են ունեցել մի շարք բացասական փոփոխություններ, ինչի պատճառով կտրուկ վատթարացել է տնտեսական աճի որակը:</w:t>
      </w:r>
      <w:r w:rsidR="00224F82">
        <w:rPr>
          <w:lang w:val="hy-AM"/>
        </w:rPr>
        <w:t xml:space="preserve"> </w:t>
      </w:r>
    </w:p>
    <w:p w14:paraId="7BF32D09" w14:textId="7AEC1BB6" w:rsidR="00224F82" w:rsidRPr="00186240" w:rsidRDefault="00224F82" w:rsidP="00224F82">
      <w:pPr>
        <w:spacing w:before="240"/>
        <w:rPr>
          <w:lang w:val="hy-AM"/>
        </w:rPr>
      </w:pPr>
      <w:r>
        <w:rPr>
          <w:lang w:val="hy-AM"/>
        </w:rPr>
        <w:t xml:space="preserve">Այսպես, 2018թ. ծառայությունների </w:t>
      </w:r>
      <w:r w:rsidRPr="00186240">
        <w:rPr>
          <w:lang w:val="hy-AM"/>
        </w:rPr>
        <w:t>(</w:t>
      </w:r>
      <w:r>
        <w:rPr>
          <w:lang w:val="hy-AM"/>
        </w:rPr>
        <w:t>առանց առևտրի</w:t>
      </w:r>
      <w:r w:rsidRPr="00186240">
        <w:rPr>
          <w:lang w:val="hy-AM"/>
        </w:rPr>
        <w:t>)</w:t>
      </w:r>
      <w:r>
        <w:rPr>
          <w:lang w:val="hy-AM"/>
        </w:rPr>
        <w:t xml:space="preserve"> նպաստումը տնտեսական աճին կազմել է 3.4 տոկոսային կետ, որից շուրջ 2.5 տոկոսային կետը </w:t>
      </w:r>
      <w:r w:rsidR="00785154">
        <w:rPr>
          <w:lang w:val="hy-AM"/>
        </w:rPr>
        <w:lastRenderedPageBreak/>
        <w:t>ձևավորվել</w:t>
      </w:r>
      <w:r>
        <w:rPr>
          <w:lang w:val="hy-AM"/>
        </w:rPr>
        <w:t xml:space="preserve"> է հավելյալ արժեք չստեղծող երկու ուղղությունների աճերի միջոցով: Նշվածից 1.4 տոկոսային կետը ձևավորվել է հիմնականում </w:t>
      </w:r>
      <w:r w:rsidRPr="00FA3022">
        <w:rPr>
          <w:lang w:val="hy-AM"/>
        </w:rPr>
        <w:t>վիճակախաղերի, տեսախաղային տերմինալների, վիրտուալ մոլեխաղերի և բուքմեյքերական գործունեության</w:t>
      </w:r>
      <w:r>
        <w:rPr>
          <w:lang w:val="hy-AM"/>
        </w:rPr>
        <w:t xml:space="preserve"> կտրուկ աճով, իսկ 1.1 տոկոսային կետը` սպառողական վարկերի կտրուկ աճի արդյունքում ֆինանսական և ապահովագրական գործունեության աճով: 2019թ. իրավիճակը շարունակել է մտահոգիչ մնալ. այս անգամ բացի նախորդ երկու գործոններից ծառայությունների աճը պայմանավորվել է նաև անշարժ գույքի հետ կապված գործունեության աճով: Նշված երեք գործոնները միասին կազմել են 2019թ. տնտեսական աճին ծառայությունների 4.0 տոկոսային կետով նպաստման կեսից ավելին: Արդյունքում զարմանալի չէ, որ 2020թ. տնտեսական անկմանը որակապես թույլ ծառայությունների ճյուղի նպաստումը եղել է ամենամեծը` շուրջ 3.5 տոկոսային կետ, որից շուրջ 2.2 տոկոսային կետը բացատրվում է բուքմեյքերական գործունեության և անշարժ գույքի հետ կապված գործունեության շեշտակի անկումներով: Ընդ որում, վիճակախաղերի և շահումով խաղերի գործունեության նախկինում գրանցված բարձր աճերից հետո այդ ոլորտի` 2021թ. առաջին կիսամյակի արդյունքներով</w:t>
      </w:r>
      <w:r w:rsidDel="00251DE6">
        <w:rPr>
          <w:lang w:val="hy-AM"/>
        </w:rPr>
        <w:t xml:space="preserve"> </w:t>
      </w:r>
      <w:r>
        <w:rPr>
          <w:lang w:val="hy-AM"/>
        </w:rPr>
        <w:t xml:space="preserve">ընդլայնվող անկումը շարունակում է բացասական նպաստում ունենալ տնտեսական աճին </w:t>
      </w:r>
      <w:r w:rsidRPr="00186240">
        <w:rPr>
          <w:lang w:val="hy-AM"/>
        </w:rPr>
        <w:t>(</w:t>
      </w:r>
      <w:r>
        <w:rPr>
          <w:lang w:val="hy-AM"/>
        </w:rPr>
        <w:t>շուրջ 2.3 տոկոսային կետով</w:t>
      </w:r>
      <w:r w:rsidRPr="00186240">
        <w:rPr>
          <w:lang w:val="hy-AM"/>
        </w:rPr>
        <w:t xml:space="preserve">): </w:t>
      </w:r>
    </w:p>
    <w:p w14:paraId="2B0ED6A6" w14:textId="6C6BB127" w:rsidR="00224F82" w:rsidRPr="00535D9B" w:rsidRDefault="00224F82" w:rsidP="00224F82">
      <w:pPr>
        <w:spacing w:before="240"/>
        <w:rPr>
          <w:b/>
          <w:lang w:val="hy-AM"/>
        </w:rPr>
      </w:pPr>
      <w:r w:rsidRPr="00F06392">
        <w:rPr>
          <w:b/>
          <w:lang w:val="hy-AM"/>
        </w:rPr>
        <w:t>Ամփոփելով</w:t>
      </w:r>
      <w:r w:rsidR="00C5141C" w:rsidRPr="008D325C">
        <w:rPr>
          <w:b/>
          <w:lang w:val="hy-AM"/>
        </w:rPr>
        <w:t>՝</w:t>
      </w:r>
      <w:r w:rsidRPr="00F06392">
        <w:rPr>
          <w:b/>
          <w:lang w:val="hy-AM"/>
        </w:rPr>
        <w:t xml:space="preserve"> կարող ենք փաստել, որ վերջին</w:t>
      </w:r>
      <w:r>
        <w:rPr>
          <w:b/>
          <w:lang w:val="hy-AM"/>
        </w:rPr>
        <w:t xml:space="preserve"> տարիներին</w:t>
      </w:r>
      <w:r w:rsidRPr="00F06392">
        <w:rPr>
          <w:b/>
          <w:lang w:val="hy-AM"/>
        </w:rPr>
        <w:t xml:space="preserve"> </w:t>
      </w:r>
      <w:r>
        <w:rPr>
          <w:b/>
          <w:lang w:val="hy-AM"/>
        </w:rPr>
        <w:t>գրանցվել է</w:t>
      </w:r>
      <w:r w:rsidRPr="00F06392">
        <w:rPr>
          <w:b/>
          <w:lang w:val="hy-AM"/>
        </w:rPr>
        <w:t xml:space="preserve"> ծառայությունների կառուցվածքի </w:t>
      </w:r>
      <w:r>
        <w:rPr>
          <w:b/>
          <w:lang w:val="hy-AM"/>
        </w:rPr>
        <w:t xml:space="preserve">ոչ թե բարելավում, այլ </w:t>
      </w:r>
      <w:r w:rsidRPr="00F06392">
        <w:rPr>
          <w:b/>
          <w:lang w:val="hy-AM"/>
        </w:rPr>
        <w:t xml:space="preserve">վատթարացում: </w:t>
      </w:r>
      <w:r w:rsidR="00F92EFD">
        <w:rPr>
          <w:b/>
          <w:lang w:val="hy-AM"/>
        </w:rPr>
        <w:t xml:space="preserve">Մասնավորապես, ՀՀ կառավարությունը չի կարողացել զսպել բուքմեյքերական գործունեության ագրեսիվ աճը, ինչի արդյունքում տուժում է ներկայումս տնտեսության վերականգնման գործընթացը: </w:t>
      </w:r>
      <w:r w:rsidRPr="00F06392">
        <w:rPr>
          <w:b/>
          <w:lang w:val="hy-AM"/>
        </w:rPr>
        <w:t xml:space="preserve">Արդյունքում, ծառայությունների ճյուղը, թեև </w:t>
      </w:r>
      <w:r>
        <w:rPr>
          <w:b/>
          <w:lang w:val="hy-AM"/>
        </w:rPr>
        <w:t>շարունակում է տնտեսության կառուցվածքում մեծ տեղ զբաղեցնել</w:t>
      </w:r>
      <w:r w:rsidR="00C5141C" w:rsidRPr="008D325C">
        <w:rPr>
          <w:b/>
          <w:lang w:val="hy-AM"/>
        </w:rPr>
        <w:t>,</w:t>
      </w:r>
      <w:r w:rsidRPr="00F06392">
        <w:rPr>
          <w:b/>
          <w:lang w:val="hy-AM"/>
        </w:rPr>
        <w:t xml:space="preserve"> </w:t>
      </w:r>
      <w:r w:rsidR="00F92EFD">
        <w:rPr>
          <w:b/>
          <w:lang w:val="hy-AM"/>
        </w:rPr>
        <w:t>այն</w:t>
      </w:r>
      <w:r w:rsidR="00C5141C" w:rsidRPr="008D325C">
        <w:rPr>
          <w:b/>
          <w:lang w:val="hy-AM"/>
        </w:rPr>
        <w:t>ուամենայնիվ</w:t>
      </w:r>
      <w:r w:rsidR="00F92EFD">
        <w:rPr>
          <w:b/>
          <w:lang w:val="hy-AM"/>
        </w:rPr>
        <w:t xml:space="preserve"> </w:t>
      </w:r>
      <w:r w:rsidRPr="00F06392">
        <w:rPr>
          <w:b/>
          <w:lang w:val="hy-AM"/>
        </w:rPr>
        <w:t>չի նպաստում երկարաժամկետ և կայուն տնտեսական աճի ապահովման` ՀՀ կառավարության նպատակադրմանը:</w:t>
      </w:r>
      <w:r>
        <w:rPr>
          <w:b/>
          <w:lang w:val="hy-AM"/>
        </w:rPr>
        <w:t xml:space="preserve"> </w:t>
      </w:r>
    </w:p>
    <w:p w14:paraId="4936351F" w14:textId="54E17903" w:rsidR="008E3735" w:rsidRPr="00EA53AD" w:rsidRDefault="008E3735" w:rsidP="00A83257">
      <w:pPr>
        <w:pStyle w:val="Heading2"/>
      </w:pPr>
      <w:bookmarkStart w:id="9" w:name="_Toc88138981"/>
      <w:r w:rsidRPr="00EA53AD">
        <w:t>2.</w:t>
      </w:r>
      <w:r w:rsidR="0037145A" w:rsidRPr="00EA53AD">
        <w:t>5</w:t>
      </w:r>
      <w:r w:rsidRPr="00EA53AD">
        <w:t>. Գյուղատնտեսության զարգացումը` տնտեսության զարգացման նախապայման</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156925F1" w14:textId="77777777" w:rsidTr="00FC2CE7">
        <w:tc>
          <w:tcPr>
            <w:tcW w:w="9062" w:type="dxa"/>
            <w:shd w:val="clear" w:color="auto" w:fill="EDEDED" w:themeFill="accent3" w:themeFillTint="33"/>
          </w:tcPr>
          <w:p w14:paraId="3FA0B610" w14:textId="77777777" w:rsidR="008E3735" w:rsidRPr="00086050" w:rsidRDefault="008E3735" w:rsidP="00FC2CE7">
            <w:pPr>
              <w:spacing w:before="60" w:after="60" w:line="276" w:lineRule="auto"/>
              <w:jc w:val="center"/>
              <w:rPr>
                <w:color w:val="00B0F0"/>
                <w:sz w:val="22"/>
                <w:lang w:val="hy-AM"/>
              </w:rPr>
            </w:pPr>
            <w:r w:rsidRPr="00086050">
              <w:rPr>
                <w:color w:val="00B0F0"/>
                <w:sz w:val="22"/>
                <w:lang w:val="hy-AM"/>
              </w:rPr>
              <w:t>ՀՀ կառավարության 2019թ. ծրագիր</w:t>
            </w:r>
          </w:p>
          <w:p w14:paraId="13754873" w14:textId="7A781A81" w:rsidR="008E3735" w:rsidRPr="00186240" w:rsidRDefault="008E3735" w:rsidP="006156CD">
            <w:pPr>
              <w:pStyle w:val="ListParagraph"/>
              <w:numPr>
                <w:ilvl w:val="0"/>
                <w:numId w:val="13"/>
              </w:numPr>
              <w:spacing w:before="60" w:after="60" w:line="276" w:lineRule="auto"/>
              <w:ind w:left="318" w:hanging="284"/>
              <w:rPr>
                <w:sz w:val="20"/>
                <w:lang w:val="hy-AM"/>
              </w:rPr>
            </w:pPr>
            <w:r w:rsidRPr="00334488">
              <w:rPr>
                <w:sz w:val="20"/>
                <w:lang w:val="hy-AM"/>
              </w:rPr>
              <w:t xml:space="preserve">Կառավարության գյուղատնտեսական քաղաքականության առանցքը լինելու է </w:t>
            </w:r>
            <w:r w:rsidRPr="00334488">
              <w:rPr>
                <w:b/>
                <w:sz w:val="20"/>
                <w:lang w:val="hy-AM"/>
              </w:rPr>
              <w:t>գյուղատնտեսության արդյունավետության բարձրացումը</w:t>
            </w:r>
            <w:r w:rsidR="00843992">
              <w:rPr>
                <w:b/>
                <w:sz w:val="20"/>
                <w:lang w:val="hy-AM"/>
              </w:rPr>
              <w:t>...:</w:t>
            </w:r>
          </w:p>
        </w:tc>
      </w:tr>
    </w:tbl>
    <w:p w14:paraId="236CE5DA" w14:textId="575B74C8" w:rsidR="00FB4614" w:rsidRDefault="002A31C4" w:rsidP="008E3735">
      <w:pPr>
        <w:spacing w:before="240"/>
        <w:rPr>
          <w:b/>
          <w:lang w:val="hy-AM"/>
        </w:rPr>
      </w:pPr>
      <w:r w:rsidRPr="008F5026">
        <w:rPr>
          <w:lang w:val="hy-AM"/>
        </w:rPr>
        <w:t>Գյուղատնտեսության ոլորտի խթանման մասով նախ պետք է արձանագրե</w:t>
      </w:r>
      <w:r w:rsidR="00872540" w:rsidRPr="008D325C">
        <w:rPr>
          <w:lang w:val="hy-AM"/>
        </w:rPr>
        <w:t>լ</w:t>
      </w:r>
      <w:r w:rsidRPr="008F5026">
        <w:rPr>
          <w:lang w:val="hy-AM"/>
        </w:rPr>
        <w:t xml:space="preserve">, որ ՀՀ նախկին կառավարությունը մշակել և իրականացնում էր բազմաթիվ ծրագրեր, որոնց մի մասը ՀՀ ներկայիս կառավարության օրոք դադարեցվել են, իսկ մյուս մասը փորձ է արվել կատարելագործել` </w:t>
      </w:r>
      <w:r w:rsidR="005A2EB4">
        <w:rPr>
          <w:lang w:val="hy-AM"/>
        </w:rPr>
        <w:t>ապահովելով</w:t>
      </w:r>
      <w:r w:rsidRPr="008F5026">
        <w:rPr>
          <w:lang w:val="hy-AM"/>
        </w:rPr>
        <w:t xml:space="preserve"> ավելի արդյունավետ </w:t>
      </w:r>
      <w:r w:rsidR="005A2EB4">
        <w:rPr>
          <w:lang w:val="hy-AM"/>
        </w:rPr>
        <w:t>մեխանիզմներ</w:t>
      </w:r>
      <w:r w:rsidRPr="008F5026">
        <w:rPr>
          <w:lang w:val="hy-AM"/>
        </w:rPr>
        <w:t xml:space="preserve"> ոլորտում առկա մի շարք խնդիրներ լուծելու համար: </w:t>
      </w:r>
      <w:r w:rsidRPr="008F5026">
        <w:rPr>
          <w:lang w:val="hy-AM"/>
        </w:rPr>
        <w:lastRenderedPageBreak/>
        <w:t xml:space="preserve">Սակայն այս առումով, որևէ դրական առաջընթաց այդպես էլ չի հաջողվել գրանցել, իսկ խնդիրները մնում են բազմաշերտ` ոռոգման </w:t>
      </w:r>
      <w:r w:rsidR="00465067">
        <w:rPr>
          <w:lang w:val="hy-AM"/>
        </w:rPr>
        <w:t xml:space="preserve">կաթիլային </w:t>
      </w:r>
      <w:r w:rsidRPr="008F5026">
        <w:rPr>
          <w:lang w:val="hy-AM"/>
        </w:rPr>
        <w:t xml:space="preserve">համակարգից մինչև </w:t>
      </w:r>
      <w:r w:rsidR="00465067">
        <w:rPr>
          <w:lang w:val="hy-AM"/>
        </w:rPr>
        <w:t xml:space="preserve">լայնամասշտաբ </w:t>
      </w:r>
      <w:r w:rsidRPr="008F5026">
        <w:rPr>
          <w:lang w:val="hy-AM"/>
        </w:rPr>
        <w:t>հակակարկտային համակարգի ներդրում,</w:t>
      </w:r>
      <w:r w:rsidR="001A33C9">
        <w:rPr>
          <w:lang w:val="hy-AM"/>
        </w:rPr>
        <w:t xml:space="preserve"> գյուղատնտեսական արտադրանքի ապահովագրու</w:t>
      </w:r>
      <w:r w:rsidR="00B1082F">
        <w:rPr>
          <w:lang w:val="hy-AM"/>
        </w:rPr>
        <w:t>թյուն</w:t>
      </w:r>
      <w:r w:rsidR="001A33C9">
        <w:rPr>
          <w:lang w:val="hy-AM"/>
        </w:rPr>
        <w:t>,</w:t>
      </w:r>
      <w:r w:rsidRPr="008F5026">
        <w:rPr>
          <w:lang w:val="hy-AM"/>
        </w:rPr>
        <w:t xml:space="preserve"> և այլն: </w:t>
      </w:r>
      <w:r w:rsidR="00FB4614" w:rsidRPr="008F5026">
        <w:rPr>
          <w:b/>
          <w:lang w:val="hy-AM"/>
        </w:rPr>
        <w:t>Այսինքն</w:t>
      </w:r>
      <w:r w:rsidR="009E502A">
        <w:rPr>
          <w:b/>
          <w:lang w:val="hy-AM"/>
        </w:rPr>
        <w:t xml:space="preserve">, մինչ այժմ </w:t>
      </w:r>
      <w:r w:rsidR="008E3735" w:rsidRPr="00B879B7">
        <w:rPr>
          <w:b/>
          <w:lang w:val="hy-AM"/>
        </w:rPr>
        <w:t xml:space="preserve"> ՀՀ կառավարությանը չի հաջողվել վարել այնպիսի քաղաքականություն, ինչը կհանգեցներ </w:t>
      </w:r>
      <w:r w:rsidR="008E3735">
        <w:rPr>
          <w:b/>
          <w:lang w:val="hy-AM"/>
        </w:rPr>
        <w:t>գյուղատնտեսության</w:t>
      </w:r>
      <w:r w:rsidR="008E3735" w:rsidRPr="00B879B7">
        <w:rPr>
          <w:b/>
          <w:lang w:val="hy-AM"/>
        </w:rPr>
        <w:t xml:space="preserve"> զարգացմանը:</w:t>
      </w:r>
    </w:p>
    <w:p w14:paraId="2B5F3C67" w14:textId="6A9BF7FE" w:rsidR="009A3B91" w:rsidRDefault="009A3B91" w:rsidP="008E3735">
      <w:pPr>
        <w:spacing w:before="240"/>
        <w:rPr>
          <w:lang w:val="hy-AM"/>
        </w:rPr>
      </w:pPr>
      <w:r>
        <w:rPr>
          <w:lang w:val="hy-AM"/>
        </w:rPr>
        <w:t>Ընդ որում</w:t>
      </w:r>
      <w:r w:rsidR="008E3735">
        <w:rPr>
          <w:lang w:val="hy-AM"/>
        </w:rPr>
        <w:t xml:space="preserve">, </w:t>
      </w:r>
      <w:r w:rsidR="000E0D03">
        <w:rPr>
          <w:lang w:val="hy-AM"/>
        </w:rPr>
        <w:t xml:space="preserve">նախորդ տարվա համեմատ </w:t>
      </w:r>
      <w:r w:rsidR="008E3735">
        <w:rPr>
          <w:lang w:val="hy-AM"/>
        </w:rPr>
        <w:t>2018</w:t>
      </w:r>
      <w:r w:rsidR="003435C6">
        <w:rPr>
          <w:lang w:val="hy-AM"/>
        </w:rPr>
        <w:t xml:space="preserve">թ. </w:t>
      </w:r>
      <w:r w:rsidR="008E3735">
        <w:rPr>
          <w:lang w:val="hy-AM"/>
        </w:rPr>
        <w:t>գյուղատնտեսությունը կրճատվել է 6.8</w:t>
      </w:r>
      <w:r w:rsidR="008E3735" w:rsidRPr="00186240">
        <w:rPr>
          <w:lang w:val="hy-AM"/>
        </w:rPr>
        <w:t>%-</w:t>
      </w:r>
      <w:r w:rsidR="008E3735">
        <w:rPr>
          <w:lang w:val="hy-AM"/>
        </w:rPr>
        <w:t>ով, 2019-ին` 5.9</w:t>
      </w:r>
      <w:r w:rsidR="008E3735" w:rsidRPr="00186240">
        <w:rPr>
          <w:lang w:val="hy-AM"/>
        </w:rPr>
        <w:t>%-</w:t>
      </w:r>
      <w:r w:rsidR="008E3735">
        <w:rPr>
          <w:lang w:val="hy-AM"/>
        </w:rPr>
        <w:t>ով, իսկ 2020 թվականին` 4.1</w:t>
      </w:r>
      <w:r w:rsidR="008E3735" w:rsidRPr="00186240">
        <w:rPr>
          <w:lang w:val="hy-AM"/>
        </w:rPr>
        <w:t>%-</w:t>
      </w:r>
      <w:r w:rsidR="008E3735">
        <w:rPr>
          <w:lang w:val="hy-AM"/>
        </w:rPr>
        <w:t>ով</w:t>
      </w:r>
      <w:r w:rsidR="00F04875">
        <w:rPr>
          <w:rStyle w:val="FootnoteReference"/>
          <w:lang w:val="hy-AM"/>
        </w:rPr>
        <w:footnoteReference w:id="28"/>
      </w:r>
      <w:r w:rsidR="008E3735">
        <w:rPr>
          <w:lang w:val="hy-AM"/>
        </w:rPr>
        <w:t xml:space="preserve">: Արդյունքում նշված տարիներին գյուղատնտեսության նպաստումը տնտեսական աճին շարունակել է պահպանվել բացասական` կազմելով համապատասխանաբար 1.0, 0.8 և 0.5 տոկոսային կետ: </w:t>
      </w:r>
    </w:p>
    <w:p w14:paraId="5B8C313A" w14:textId="246F8836" w:rsidR="009A3B91" w:rsidRPr="002C1B35" w:rsidRDefault="009A3B91" w:rsidP="008E3735">
      <w:pPr>
        <w:spacing w:before="240"/>
        <w:rPr>
          <w:lang w:val="hy-AM"/>
        </w:rPr>
      </w:pPr>
      <w:r w:rsidRPr="008F5026">
        <w:rPr>
          <w:b/>
          <w:lang w:val="hy-AM"/>
        </w:rPr>
        <w:t xml:space="preserve">Գյուղատնտեսության ոլորտում տնտեսության ակտիվացում չի նկատվում նաև </w:t>
      </w:r>
      <w:r w:rsidR="008E3735" w:rsidRPr="008F5026">
        <w:rPr>
          <w:b/>
          <w:lang w:val="hy-AM"/>
        </w:rPr>
        <w:t xml:space="preserve">2021թ. </w:t>
      </w:r>
      <w:r w:rsidRPr="008F5026">
        <w:rPr>
          <w:b/>
          <w:lang w:val="hy-AM"/>
        </w:rPr>
        <w:t>հունվար-սեպտեմբերի դրությամբ</w:t>
      </w:r>
      <w:r w:rsidR="00846E2C">
        <w:rPr>
          <w:b/>
          <w:lang w:val="hy-AM"/>
        </w:rPr>
        <w:t xml:space="preserve">, այն պարագայում, երբ ՀՀ </w:t>
      </w:r>
      <w:r w:rsidR="00693696">
        <w:rPr>
          <w:b/>
          <w:lang w:val="hy-AM"/>
        </w:rPr>
        <w:t>էկոնոմիկայի նախարարը</w:t>
      </w:r>
      <w:r w:rsidR="00846E2C">
        <w:rPr>
          <w:b/>
          <w:lang w:val="hy-AM"/>
        </w:rPr>
        <w:t xml:space="preserve"> 2021թ. կեսերին արդեն իսկ խոստանում էր ոլորտում ապահովել </w:t>
      </w:r>
      <w:r w:rsidR="00C5141C" w:rsidRPr="008D325C">
        <w:rPr>
          <w:b/>
          <w:lang w:val="hy-AM"/>
        </w:rPr>
        <w:t>տպավորիչ</w:t>
      </w:r>
      <w:r w:rsidR="00C5141C">
        <w:rPr>
          <w:b/>
          <w:lang w:val="hy-AM"/>
        </w:rPr>
        <w:t xml:space="preserve"> </w:t>
      </w:r>
      <w:r w:rsidR="00846E2C">
        <w:rPr>
          <w:b/>
          <w:lang w:val="hy-AM"/>
        </w:rPr>
        <w:t>աճեր</w:t>
      </w:r>
      <w:r w:rsidR="00846E2C">
        <w:rPr>
          <w:rStyle w:val="FootnoteReference"/>
          <w:b/>
          <w:lang w:val="hy-AM"/>
        </w:rPr>
        <w:footnoteReference w:id="29"/>
      </w:r>
      <w:r w:rsidRPr="008F5026">
        <w:rPr>
          <w:b/>
          <w:lang w:val="hy-AM"/>
        </w:rPr>
        <w:t>:</w:t>
      </w:r>
      <w:r>
        <w:rPr>
          <w:lang w:val="hy-AM"/>
        </w:rPr>
        <w:t xml:space="preserve"> Նշված ժամանակահատվածում գյուղատնտեսական համախառն արտադրանքի ծավալը 2020թ. հունվար-սեպտեմբերի համեմատ կրճատվել է շուրջ 1.5</w:t>
      </w:r>
      <w:r w:rsidRPr="00186240">
        <w:rPr>
          <w:lang w:val="hy-AM"/>
        </w:rPr>
        <w:t>%-</w:t>
      </w:r>
      <w:r>
        <w:rPr>
          <w:lang w:val="hy-AM"/>
        </w:rPr>
        <w:t>ով` առանց այդ էլ դանդաղող տնտեսական ակտիվության ցուցանիշին</w:t>
      </w:r>
      <w:r w:rsidR="002C1B35">
        <w:rPr>
          <w:lang w:val="hy-AM"/>
        </w:rPr>
        <w:t xml:space="preserve"> </w:t>
      </w:r>
      <w:r w:rsidR="002C1B35" w:rsidRPr="00186240">
        <w:rPr>
          <w:lang w:val="hy-AM"/>
        </w:rPr>
        <w:t>(</w:t>
      </w:r>
      <w:r w:rsidR="002C1B35">
        <w:rPr>
          <w:lang w:val="hy-AM"/>
        </w:rPr>
        <w:t>ՏԱՑ</w:t>
      </w:r>
      <w:r w:rsidR="002C1B35" w:rsidRPr="00186240">
        <w:rPr>
          <w:lang w:val="hy-AM"/>
        </w:rPr>
        <w:t>)</w:t>
      </w:r>
      <w:r>
        <w:rPr>
          <w:lang w:val="hy-AM"/>
        </w:rPr>
        <w:t xml:space="preserve"> ունենալով 0.2 տոկոսային կետով բացասական նպաստում: </w:t>
      </w:r>
      <w:r w:rsidR="002C1B35">
        <w:rPr>
          <w:lang w:val="hy-AM"/>
        </w:rPr>
        <w:t>2021թ. հունվար-հունիս ամիսներին կուտակային ՏԱՑ-ը գյուղատնտեսության ոլորտում կազմել էր 6.8</w:t>
      </w:r>
      <w:r w:rsidR="002C1B35" w:rsidRPr="00186240">
        <w:rPr>
          <w:lang w:val="hy-AM"/>
        </w:rPr>
        <w:t>%</w:t>
      </w:r>
      <w:r w:rsidR="009F06D1">
        <w:rPr>
          <w:lang w:val="hy-AM"/>
        </w:rPr>
        <w:t xml:space="preserve">` հավանաբար հիմք հանդիսանալով ՀՀ կառավարության դրական սպասումների ձևավորման համար, սակայն ինչպես ցույց են տալիս 2021թ. առաջին ինն ամսվա արդյունքները` այդ սպասումները և դրանց հիման վրա խոստացված «տպավորիչ աճերը» հակառակ ուղղությամբ են ընթանում: </w:t>
      </w:r>
    </w:p>
    <w:p w14:paraId="3EF9BE14" w14:textId="0DFDD4C5" w:rsidR="00D00797" w:rsidRDefault="00670BBC" w:rsidP="00D00797">
      <w:pPr>
        <w:spacing w:before="240"/>
        <w:rPr>
          <w:b/>
          <w:lang w:val="hy-AM"/>
        </w:rPr>
      </w:pPr>
      <w:r>
        <w:rPr>
          <w:b/>
          <w:lang w:val="hy-AM"/>
        </w:rPr>
        <w:t xml:space="preserve">Ստացվում է, որ </w:t>
      </w:r>
      <w:r w:rsidR="00E85F50">
        <w:rPr>
          <w:b/>
          <w:lang w:val="hy-AM"/>
        </w:rPr>
        <w:t>մինչ այժմ</w:t>
      </w:r>
      <w:r w:rsidR="003435C6" w:rsidRPr="00906CE4">
        <w:rPr>
          <w:b/>
          <w:lang w:val="hy-AM"/>
        </w:rPr>
        <w:t xml:space="preserve"> </w:t>
      </w:r>
      <w:r w:rsidR="008E3735" w:rsidRPr="00906CE4">
        <w:rPr>
          <w:b/>
          <w:lang w:val="hy-AM"/>
        </w:rPr>
        <w:t xml:space="preserve">ՀՀ կառավարության գործադրած ջանքերը բավարար չեն </w:t>
      </w:r>
      <w:r w:rsidR="00E85F50">
        <w:rPr>
          <w:b/>
          <w:lang w:val="hy-AM"/>
        </w:rPr>
        <w:t xml:space="preserve">գյուղատնտեսության </w:t>
      </w:r>
      <w:r w:rsidR="008E3735" w:rsidRPr="00906CE4">
        <w:rPr>
          <w:b/>
          <w:lang w:val="hy-AM"/>
        </w:rPr>
        <w:t xml:space="preserve">ոլորտում առկա խնդիրները լուծելու համար, ինչի հետևանքով գյուղատնտեսությունը ոչ միայն չի </w:t>
      </w:r>
      <w:r w:rsidR="00E85F50" w:rsidRPr="00906CE4">
        <w:rPr>
          <w:b/>
          <w:lang w:val="hy-AM"/>
        </w:rPr>
        <w:t>զարգա</w:t>
      </w:r>
      <w:r w:rsidR="00E85F50">
        <w:rPr>
          <w:b/>
          <w:lang w:val="hy-AM"/>
        </w:rPr>
        <w:t>նում</w:t>
      </w:r>
      <w:r w:rsidR="008E3735" w:rsidRPr="00906CE4">
        <w:rPr>
          <w:b/>
          <w:lang w:val="hy-AM"/>
        </w:rPr>
        <w:t xml:space="preserve">, այլև բացասաբար է </w:t>
      </w:r>
      <w:r w:rsidR="00E85F50">
        <w:rPr>
          <w:b/>
          <w:lang w:val="hy-AM"/>
        </w:rPr>
        <w:t>ազդում</w:t>
      </w:r>
      <w:r w:rsidR="00E85F50" w:rsidRPr="00906CE4">
        <w:rPr>
          <w:b/>
          <w:lang w:val="hy-AM"/>
        </w:rPr>
        <w:t xml:space="preserve"> </w:t>
      </w:r>
      <w:r w:rsidR="008E3735" w:rsidRPr="00906CE4">
        <w:rPr>
          <w:b/>
          <w:lang w:val="hy-AM"/>
        </w:rPr>
        <w:t xml:space="preserve">տնտեսական աճի վրա` կրճատելով հետագա տարիների </w:t>
      </w:r>
      <w:r w:rsidR="008E3735">
        <w:rPr>
          <w:b/>
          <w:lang w:val="hy-AM"/>
        </w:rPr>
        <w:t>զարգացման</w:t>
      </w:r>
      <w:r w:rsidR="008E3735" w:rsidRPr="00906CE4">
        <w:rPr>
          <w:b/>
          <w:lang w:val="hy-AM"/>
        </w:rPr>
        <w:t xml:space="preserve"> հնարավորությունները:</w:t>
      </w:r>
      <w:r w:rsidR="00F53D67">
        <w:rPr>
          <w:b/>
          <w:lang w:val="hy-AM"/>
        </w:rPr>
        <w:t xml:space="preserve"> Ընդ որում, </w:t>
      </w:r>
      <w:r w:rsidR="00BB65B3">
        <w:rPr>
          <w:b/>
          <w:lang w:val="hy-AM"/>
        </w:rPr>
        <w:t>գրանցված արդյունքների</w:t>
      </w:r>
      <w:r w:rsidR="00F53D67">
        <w:rPr>
          <w:b/>
          <w:lang w:val="hy-AM"/>
        </w:rPr>
        <w:t xml:space="preserve"> համատեքստում ստացվում է, որ ՀՀ գյուղատնտեսության նախարարության փակման` ներկայիս իշխանությունների քաղաքական որոշումը բացարձակապես</w:t>
      </w:r>
      <w:r w:rsidR="00CC669D">
        <w:rPr>
          <w:b/>
          <w:lang w:val="hy-AM"/>
        </w:rPr>
        <w:t xml:space="preserve"> չի</w:t>
      </w:r>
      <w:r w:rsidR="00F53D67">
        <w:rPr>
          <w:b/>
          <w:lang w:val="hy-AM"/>
        </w:rPr>
        <w:t xml:space="preserve"> </w:t>
      </w:r>
      <w:r w:rsidR="00CC669D">
        <w:rPr>
          <w:b/>
          <w:lang w:val="hy-AM"/>
        </w:rPr>
        <w:t>արդարացրել իրեն</w:t>
      </w:r>
      <w:r w:rsidR="00F53D67">
        <w:rPr>
          <w:b/>
          <w:lang w:val="hy-AM"/>
        </w:rPr>
        <w:t>:</w:t>
      </w:r>
    </w:p>
    <w:p w14:paraId="5DD83253" w14:textId="77777777" w:rsidR="00D00797" w:rsidRDefault="00D00797" w:rsidP="00D00797">
      <w:pPr>
        <w:spacing w:after="0"/>
        <w:rPr>
          <w:b/>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45EF8C12" w14:textId="77777777" w:rsidTr="00FC2CE7">
        <w:tc>
          <w:tcPr>
            <w:tcW w:w="9062" w:type="dxa"/>
            <w:shd w:val="clear" w:color="auto" w:fill="EDEDED" w:themeFill="accent3" w:themeFillTint="33"/>
          </w:tcPr>
          <w:p w14:paraId="174335F6" w14:textId="77777777" w:rsidR="008E3735" w:rsidRPr="00183239" w:rsidRDefault="008E3735" w:rsidP="00FC2CE7">
            <w:pPr>
              <w:spacing w:before="60" w:after="60" w:line="276" w:lineRule="auto"/>
              <w:jc w:val="center"/>
              <w:rPr>
                <w:color w:val="00B0F0"/>
                <w:sz w:val="22"/>
                <w:lang w:val="hy-AM"/>
              </w:rPr>
            </w:pPr>
            <w:r w:rsidRPr="00183239">
              <w:rPr>
                <w:color w:val="00B0F0"/>
                <w:sz w:val="22"/>
                <w:lang w:val="hy-AM"/>
              </w:rPr>
              <w:lastRenderedPageBreak/>
              <w:t>ՀՀ կառավարության 2021թ. ծրագիր</w:t>
            </w:r>
          </w:p>
          <w:p w14:paraId="0879DBBD" w14:textId="3426F0CE" w:rsidR="008E3735" w:rsidRPr="00186240" w:rsidRDefault="008E3735" w:rsidP="00D81630">
            <w:pPr>
              <w:pStyle w:val="ListParagraph"/>
              <w:numPr>
                <w:ilvl w:val="0"/>
                <w:numId w:val="13"/>
              </w:numPr>
              <w:spacing w:before="60" w:after="60" w:line="276" w:lineRule="auto"/>
              <w:ind w:left="318" w:hanging="284"/>
              <w:rPr>
                <w:sz w:val="20"/>
                <w:lang w:val="hy-AM"/>
              </w:rPr>
            </w:pPr>
            <w:r w:rsidRPr="00A53F6B">
              <w:rPr>
                <w:sz w:val="20"/>
                <w:lang w:val="hy-AM"/>
              </w:rPr>
              <w:t xml:space="preserve">Գյուղատնտեսության ոլորտում Կառավարության կողմից իրականացվող քաղաքականությունն ուղղված է լինելու </w:t>
            </w:r>
            <w:r w:rsidRPr="00A53F6B">
              <w:rPr>
                <w:b/>
                <w:sz w:val="20"/>
                <w:lang w:val="hy-AM"/>
              </w:rPr>
              <w:t>գյուղատնտեսության ինտենսիվացմանը, արտադրողականության բարձրացմանը</w:t>
            </w:r>
            <w:r w:rsidR="00640C0F">
              <w:rPr>
                <w:b/>
                <w:sz w:val="20"/>
                <w:lang w:val="hy-AM"/>
              </w:rPr>
              <w:t>...:</w:t>
            </w:r>
          </w:p>
        </w:tc>
      </w:tr>
    </w:tbl>
    <w:p w14:paraId="67DDB141" w14:textId="1E7F72E7" w:rsidR="008E3735" w:rsidRDefault="008E3735" w:rsidP="00A63C73">
      <w:pPr>
        <w:spacing w:before="240"/>
        <w:rPr>
          <w:lang w:val="hy-AM"/>
        </w:rPr>
      </w:pPr>
      <w:r>
        <w:rPr>
          <w:lang w:val="hy-AM"/>
        </w:rPr>
        <w:t xml:space="preserve">Թեև </w:t>
      </w:r>
      <w:r w:rsidR="00C76810">
        <w:rPr>
          <w:lang w:val="hy-AM"/>
        </w:rPr>
        <w:t xml:space="preserve">ՀՀ կառավարության 2021թ. </w:t>
      </w:r>
      <w:r>
        <w:rPr>
          <w:lang w:val="hy-AM"/>
        </w:rPr>
        <w:t xml:space="preserve">ծրագրում </w:t>
      </w:r>
      <w:r w:rsidR="00EF355A">
        <w:rPr>
          <w:lang w:val="hy-AM"/>
        </w:rPr>
        <w:t xml:space="preserve">գյուղատնտեսության ոլորտի մասով ևս </w:t>
      </w:r>
      <w:r>
        <w:rPr>
          <w:lang w:val="hy-AM"/>
        </w:rPr>
        <w:t>չեն ներկայացվում թվային թիրախներ, ՀՀ կառավարության</w:t>
      </w:r>
      <w:r w:rsidR="00113880">
        <w:rPr>
          <w:lang w:val="hy-AM"/>
        </w:rPr>
        <w:t xml:space="preserve"> </w:t>
      </w:r>
      <w:r>
        <w:rPr>
          <w:lang w:val="hy-AM"/>
        </w:rPr>
        <w:t>կանխատեսումների համաձայն</w:t>
      </w:r>
      <w:r w:rsidR="007724C3" w:rsidRPr="008D325C">
        <w:rPr>
          <w:lang w:val="hy-AM"/>
        </w:rPr>
        <w:t>՝</w:t>
      </w:r>
      <w:r>
        <w:rPr>
          <w:lang w:val="hy-AM"/>
        </w:rPr>
        <w:t xml:space="preserve"> </w:t>
      </w:r>
      <w:r w:rsidR="00113880">
        <w:rPr>
          <w:lang w:val="hy-AM"/>
        </w:rPr>
        <w:t>2021-2024թթ.</w:t>
      </w:r>
      <w:r w:rsidR="001627CD">
        <w:rPr>
          <w:rStyle w:val="FootnoteReference"/>
          <w:lang w:val="hy-AM"/>
        </w:rPr>
        <w:footnoteReference w:id="30"/>
      </w:r>
      <w:r w:rsidR="00717034">
        <w:rPr>
          <w:lang w:val="hy-AM"/>
        </w:rPr>
        <w:t xml:space="preserve"> </w:t>
      </w:r>
      <w:r>
        <w:rPr>
          <w:lang w:val="hy-AM"/>
        </w:rPr>
        <w:t>ակնկալ</w:t>
      </w:r>
      <w:r w:rsidR="003435C6">
        <w:rPr>
          <w:lang w:val="hy-AM"/>
        </w:rPr>
        <w:t>վ</w:t>
      </w:r>
      <w:r>
        <w:rPr>
          <w:lang w:val="hy-AM"/>
        </w:rPr>
        <w:t xml:space="preserve">ում է գյուղատնտեսության </w:t>
      </w:r>
      <w:r w:rsidR="00113880">
        <w:rPr>
          <w:lang w:val="hy-AM"/>
        </w:rPr>
        <w:t>ոլորտի</w:t>
      </w:r>
      <w:r>
        <w:rPr>
          <w:lang w:val="hy-AM"/>
        </w:rPr>
        <w:t xml:space="preserve"> տարեկան </w:t>
      </w:r>
      <w:r w:rsidR="00440B0C">
        <w:rPr>
          <w:lang w:val="hy-AM"/>
        </w:rPr>
        <w:t>միջին հաշվով</w:t>
      </w:r>
      <w:r>
        <w:rPr>
          <w:lang w:val="hy-AM"/>
        </w:rPr>
        <w:t xml:space="preserve"> </w:t>
      </w:r>
      <w:r w:rsidR="00113880">
        <w:rPr>
          <w:lang w:val="hy-AM"/>
        </w:rPr>
        <w:t>3.6</w:t>
      </w:r>
      <w:r w:rsidRPr="00186240">
        <w:rPr>
          <w:lang w:val="hy-AM"/>
        </w:rPr>
        <w:t>%</w:t>
      </w:r>
      <w:r>
        <w:rPr>
          <w:lang w:val="hy-AM"/>
        </w:rPr>
        <w:t xml:space="preserve"> աճ</w:t>
      </w:r>
      <w:r w:rsidR="00CD3981" w:rsidRPr="00186240">
        <w:rPr>
          <w:lang w:val="hy-AM"/>
        </w:rPr>
        <w:t>:</w:t>
      </w:r>
      <w:r w:rsidR="00CD3981">
        <w:rPr>
          <w:lang w:val="hy-AM"/>
        </w:rPr>
        <w:t xml:space="preserve"> Ընդ որում, </w:t>
      </w:r>
      <w:r w:rsidR="007724C3" w:rsidRPr="008D325C">
        <w:rPr>
          <w:lang w:val="hy-AM"/>
        </w:rPr>
        <w:t xml:space="preserve">     </w:t>
      </w:r>
      <w:r w:rsidR="00CD3981">
        <w:rPr>
          <w:lang w:val="hy-AM"/>
        </w:rPr>
        <w:t>2021-ին ակնկալվում է 5.6</w:t>
      </w:r>
      <w:r w:rsidR="00CD3981" w:rsidRPr="00186240">
        <w:rPr>
          <w:lang w:val="hy-AM"/>
        </w:rPr>
        <w:t>%</w:t>
      </w:r>
      <w:r w:rsidR="00CD3981">
        <w:rPr>
          <w:lang w:val="hy-AM"/>
        </w:rPr>
        <w:t xml:space="preserve"> աճ, </w:t>
      </w:r>
      <w:r w:rsidR="00F45D0B">
        <w:rPr>
          <w:lang w:val="hy-AM"/>
        </w:rPr>
        <w:t>ինչն անիրատեսական է թվում</w:t>
      </w:r>
      <w:r w:rsidR="00CD3981">
        <w:rPr>
          <w:lang w:val="hy-AM"/>
        </w:rPr>
        <w:t>` հաշվի առնելով 2021թ. հունվար-սեպտեմբեր ամիսների անկումային արդյունքները:</w:t>
      </w:r>
      <w:r w:rsidR="006F1DA8">
        <w:rPr>
          <w:lang w:val="hy-AM"/>
        </w:rPr>
        <w:t xml:space="preserve"> 2022թ. կանխատեսվում է 3.9</w:t>
      </w:r>
      <w:r w:rsidR="006F1DA8" w:rsidRPr="00186240">
        <w:rPr>
          <w:lang w:val="hy-AM"/>
        </w:rPr>
        <w:t>%</w:t>
      </w:r>
      <w:r w:rsidR="006F1DA8">
        <w:rPr>
          <w:lang w:val="hy-AM"/>
        </w:rPr>
        <w:t xml:space="preserve"> աճ, 2023-ին` 2.3</w:t>
      </w:r>
      <w:r w:rsidR="006F1DA8" w:rsidRPr="00186240">
        <w:rPr>
          <w:lang w:val="hy-AM"/>
        </w:rPr>
        <w:t xml:space="preserve">%, </w:t>
      </w:r>
      <w:r w:rsidR="006F1DA8">
        <w:rPr>
          <w:lang w:val="hy-AM"/>
        </w:rPr>
        <w:t>իսկ 2024-ին` 2.5</w:t>
      </w:r>
      <w:r w:rsidR="006F1DA8" w:rsidRPr="00186240">
        <w:rPr>
          <w:lang w:val="hy-AM"/>
        </w:rPr>
        <w:t>%:</w:t>
      </w:r>
      <w:r>
        <w:rPr>
          <w:lang w:val="hy-AM"/>
        </w:rPr>
        <w:t xml:space="preserve"> Սակայն արդյո</w:t>
      </w:r>
      <w:r w:rsidRPr="00EF74DE">
        <w:rPr>
          <w:lang w:val="hy-AM"/>
        </w:rPr>
        <w:t>՞</w:t>
      </w:r>
      <w:r>
        <w:rPr>
          <w:lang w:val="hy-AM"/>
        </w:rPr>
        <w:t xml:space="preserve">ք ՀՀ կառավարությանը կհաջողվի ապահովելով </w:t>
      </w:r>
      <w:r w:rsidR="00383803">
        <w:rPr>
          <w:lang w:val="hy-AM"/>
        </w:rPr>
        <w:t>դա</w:t>
      </w:r>
      <w:r w:rsidR="007724C3" w:rsidRPr="008D325C">
        <w:rPr>
          <w:lang w:val="hy-AM"/>
        </w:rPr>
        <w:t>,</w:t>
      </w:r>
      <w:r>
        <w:rPr>
          <w:lang w:val="hy-AM"/>
        </w:rPr>
        <w:t xml:space="preserve"> դժվար է ասել: </w:t>
      </w:r>
      <w:r w:rsidRPr="002E2858">
        <w:rPr>
          <w:b/>
          <w:lang w:val="hy-AM"/>
        </w:rPr>
        <w:t>Հաշվի առնելով վերջին տարիներին գրանցված բացասական արդյունքները` թերևս այս ուղղությամբ ևս հնարավոր չէ լավատեսական սպասումներ ձևավորել:</w:t>
      </w:r>
    </w:p>
    <w:bookmarkStart w:id="10" w:name="_Toc88138982"/>
    <w:p w14:paraId="3EE5F264" w14:textId="05B8E00F" w:rsidR="008E3735" w:rsidRPr="00D1020F" w:rsidRDefault="008257B7" w:rsidP="00F4691D">
      <w:pPr>
        <w:pStyle w:val="Heading1"/>
      </w:pPr>
      <w:r w:rsidRPr="00F81295">
        <w:rPr>
          <w:i/>
          <w:noProof/>
          <w:sz w:val="24"/>
          <w:lang w:val="en-US"/>
        </w:rPr>
        <mc:AlternateContent>
          <mc:Choice Requires="wps">
            <w:drawing>
              <wp:anchor distT="0" distB="0" distL="114300" distR="114300" simplePos="0" relativeHeight="251667456" behindDoc="1" locked="0" layoutInCell="1" allowOverlap="1" wp14:anchorId="63F4CE9B" wp14:editId="05F41E06">
                <wp:simplePos x="0" y="0"/>
                <wp:positionH relativeFrom="margin">
                  <wp:posOffset>-2280285</wp:posOffset>
                </wp:positionH>
                <wp:positionV relativeFrom="paragraph">
                  <wp:posOffset>-28575</wp:posOffset>
                </wp:positionV>
                <wp:extent cx="6496050" cy="581025"/>
                <wp:effectExtent l="0" t="0" r="0" b="9525"/>
                <wp:wrapNone/>
                <wp:docPr id="11" name="Прямоугольник 3"/>
                <wp:cNvGraphicFramePr/>
                <a:graphic xmlns:a="http://schemas.openxmlformats.org/drawingml/2006/main">
                  <a:graphicData uri="http://schemas.microsoft.com/office/word/2010/wordprocessingShape">
                    <wps:wsp>
                      <wps:cNvSpPr/>
                      <wps:spPr>
                        <a:xfrm>
                          <a:off x="0" y="0"/>
                          <a:ext cx="6496050" cy="581025"/>
                        </a:xfrm>
                        <a:prstGeom prst="rect">
                          <a:avLst/>
                        </a:prstGeom>
                        <a:solidFill>
                          <a:srgbClr val="00B3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50B25" id="Прямоугольник 3" o:spid="_x0000_s1026" style="position:absolute;margin-left:-179.55pt;margin-top:-2.25pt;width:511.5pt;height:4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" fillcolor="#00b3c4" stroked="f" strokeweight="1pt">
                <w10:wrap anchorx="margin"/>
              </v:rect>
            </w:pict>
          </mc:Fallback>
        </mc:AlternateContent>
      </w:r>
      <w:r w:rsidR="008E3735" w:rsidRPr="00D1020F">
        <w:t>3</w:t>
      </w:r>
      <w:r w:rsidR="008E3735" w:rsidRPr="00186240">
        <w:t xml:space="preserve">. </w:t>
      </w:r>
      <w:r w:rsidR="008E3735" w:rsidRPr="00D1020F">
        <w:t>ՄԱՐԴԿԱՅԻՆ ԿԱՊԻՏԱԼԸ ԵՎ ՍՈՑԻԱԼԱԿԱՆ ՊԱՇՏՊԱՆՈՒԹՅՈՒՆԸ</w:t>
      </w:r>
      <w:bookmarkEnd w:id="10"/>
    </w:p>
    <w:p w14:paraId="1690AFC3" w14:textId="6385919A" w:rsidR="008E3735" w:rsidRDefault="008E3735" w:rsidP="008E3735">
      <w:pPr>
        <w:spacing w:before="240"/>
        <w:ind w:firstLine="602"/>
        <w:rPr>
          <w:lang w:val="hy-AM"/>
        </w:rPr>
      </w:pPr>
      <w:r>
        <w:rPr>
          <w:lang w:val="hy-AM"/>
        </w:rPr>
        <w:t>Վերլուծության այս բաժնում կուսումնասիրենք մարդկային կապիտալի զարգացման և սոցիալական պաշտպանության ապահովման համատեքստում</w:t>
      </w:r>
      <w:r w:rsidR="003D3454">
        <w:rPr>
          <w:lang w:val="hy-AM"/>
        </w:rPr>
        <w:t xml:space="preserve"> ՀՀ կառավարության որդեգրած քաղաքականությունը</w:t>
      </w:r>
      <w:r>
        <w:rPr>
          <w:lang w:val="hy-AM"/>
        </w:rPr>
        <w:t>: Կանդրադառնանք ՀՀ կառավարության խոստումներին` սկսած աղքատության հաղթահարումից մինչև ծայրահեղ աղքատության վերացում, զբաղվածության ընդլայնումից մինչև գործազրկության կրճատում և</w:t>
      </w:r>
      <w:r w:rsidR="00B96FD7">
        <w:rPr>
          <w:lang w:val="hy-AM"/>
        </w:rPr>
        <w:t>,</w:t>
      </w:r>
      <w:r>
        <w:rPr>
          <w:lang w:val="hy-AM"/>
        </w:rPr>
        <w:t xml:space="preserve"> իհարկե</w:t>
      </w:r>
      <w:r w:rsidR="00B96FD7">
        <w:rPr>
          <w:lang w:val="hy-AM"/>
        </w:rPr>
        <w:t>,</w:t>
      </w:r>
      <w:r>
        <w:rPr>
          <w:lang w:val="hy-AM"/>
        </w:rPr>
        <w:t xml:space="preserve"> հասարակության իրական եկամուտների աճ` աշխատավարձերի, կենսաթոշակների, այլ սոցիալական վճարների բարձրացման և մարդկային կապիտալի արտադրողականության ընդլայնման ճանապարհով:</w:t>
      </w:r>
    </w:p>
    <w:p w14:paraId="47B37F9D" w14:textId="77777777" w:rsidR="008E3735" w:rsidRPr="00A83257" w:rsidRDefault="008E3735" w:rsidP="00A83257">
      <w:pPr>
        <w:pStyle w:val="Heading2"/>
      </w:pPr>
      <w:bookmarkStart w:id="11" w:name="_Toc88138983"/>
      <w:r w:rsidRPr="00A83257">
        <w:t>3.1. Աղքատության հաղթահարումը</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411A40FE" w14:textId="77777777" w:rsidTr="00FC2CE7">
        <w:tc>
          <w:tcPr>
            <w:tcW w:w="9062" w:type="dxa"/>
            <w:shd w:val="clear" w:color="auto" w:fill="EDEDED" w:themeFill="accent3" w:themeFillTint="33"/>
          </w:tcPr>
          <w:p w14:paraId="4C339794" w14:textId="77777777" w:rsidR="008E3735" w:rsidRPr="00D93A6D" w:rsidRDefault="008E3735" w:rsidP="00FC2CE7">
            <w:pPr>
              <w:spacing w:before="60" w:after="60" w:line="276" w:lineRule="auto"/>
              <w:jc w:val="center"/>
              <w:rPr>
                <w:color w:val="00B0F0"/>
                <w:sz w:val="22"/>
                <w:lang w:val="hy-AM"/>
              </w:rPr>
            </w:pPr>
            <w:r w:rsidRPr="00D93A6D">
              <w:rPr>
                <w:color w:val="00B0F0"/>
                <w:sz w:val="22"/>
                <w:lang w:val="hy-AM"/>
              </w:rPr>
              <w:t>ՀՀ կառավարության 2019թ. ծրագիր</w:t>
            </w:r>
          </w:p>
          <w:p w14:paraId="724AF808" w14:textId="77777777" w:rsidR="008E3735" w:rsidRPr="00186240" w:rsidRDefault="008E3735" w:rsidP="008E3735">
            <w:pPr>
              <w:pStyle w:val="ListParagraph"/>
              <w:numPr>
                <w:ilvl w:val="0"/>
                <w:numId w:val="14"/>
              </w:numPr>
              <w:spacing w:before="60" w:after="60" w:line="276" w:lineRule="auto"/>
              <w:ind w:left="318" w:hanging="284"/>
              <w:rPr>
                <w:sz w:val="20"/>
                <w:lang w:val="hy-AM"/>
              </w:rPr>
            </w:pPr>
            <w:r w:rsidRPr="00186240">
              <w:rPr>
                <w:sz w:val="20"/>
                <w:lang w:val="hy-AM"/>
              </w:rPr>
              <w:t xml:space="preserve">Կառավարությունը նպատակադրվել է </w:t>
            </w:r>
            <w:r w:rsidRPr="00186240">
              <w:rPr>
                <w:b/>
                <w:sz w:val="20"/>
                <w:lang w:val="hy-AM"/>
              </w:rPr>
              <w:t>մինչև 2023 թվականը վերացնել ծայրահեղ աղքատությունը, էապես նվազեցնել աղքատությունը</w:t>
            </w:r>
            <w:r w:rsidRPr="00186240">
              <w:rPr>
                <w:sz w:val="20"/>
                <w:lang w:val="hy-AM"/>
              </w:rPr>
              <w:t>:</w:t>
            </w:r>
          </w:p>
        </w:tc>
      </w:tr>
    </w:tbl>
    <w:p w14:paraId="273C344E" w14:textId="27A0FBD0" w:rsidR="008E3735" w:rsidRPr="00186240" w:rsidRDefault="008E3735" w:rsidP="008E3735">
      <w:pPr>
        <w:spacing w:before="240" w:after="0"/>
        <w:ind w:firstLine="602"/>
        <w:rPr>
          <w:lang w:val="hy-AM"/>
        </w:rPr>
      </w:pPr>
      <w:r>
        <w:rPr>
          <w:lang w:val="hy-AM"/>
        </w:rPr>
        <w:t>Թեև</w:t>
      </w:r>
      <w:r w:rsidRPr="00186240">
        <w:rPr>
          <w:lang w:val="hy-AM"/>
        </w:rPr>
        <w:t xml:space="preserve"> </w:t>
      </w:r>
      <w:r w:rsidRPr="00186240">
        <w:rPr>
          <w:i/>
          <w:lang w:val="hy-AM"/>
        </w:rPr>
        <w:t>«էապես նվազեցնել աղքատությունը»</w:t>
      </w:r>
      <w:r w:rsidRPr="00EF6E1C">
        <w:rPr>
          <w:lang w:val="hy-AM"/>
        </w:rPr>
        <w:t xml:space="preserve"> ձևակերպումը</w:t>
      </w:r>
      <w:r>
        <w:rPr>
          <w:i/>
          <w:lang w:val="hy-AM"/>
        </w:rPr>
        <w:t xml:space="preserve"> </w:t>
      </w:r>
      <w:r>
        <w:rPr>
          <w:lang w:val="hy-AM"/>
        </w:rPr>
        <w:t>թույլ չի տալիս հստակ հասկանալ ՀՀ կառավարության թիրախը</w:t>
      </w:r>
      <w:r w:rsidRPr="00186240">
        <w:rPr>
          <w:lang w:val="hy-AM"/>
        </w:rPr>
        <w:t>,</w:t>
      </w:r>
      <w:r>
        <w:rPr>
          <w:lang w:val="hy-AM"/>
        </w:rPr>
        <w:t xml:space="preserve"> վերջին տարիներին գրանցված </w:t>
      </w:r>
      <w:r>
        <w:rPr>
          <w:lang w:val="hy-AM"/>
        </w:rPr>
        <w:lastRenderedPageBreak/>
        <w:t xml:space="preserve">արդյունքները </w:t>
      </w:r>
      <w:r w:rsidRPr="00186240">
        <w:rPr>
          <w:lang w:val="hy-AM"/>
        </w:rPr>
        <w:t>(</w:t>
      </w:r>
      <w:r>
        <w:rPr>
          <w:lang w:val="hy-AM"/>
        </w:rPr>
        <w:t xml:space="preserve">Աղյուսակ </w:t>
      </w:r>
      <w:r w:rsidR="00C2465C">
        <w:rPr>
          <w:lang w:val="hy-AM"/>
        </w:rPr>
        <w:t>2</w:t>
      </w:r>
      <w:r w:rsidRPr="00186240">
        <w:rPr>
          <w:lang w:val="hy-AM"/>
        </w:rPr>
        <w:t>)</w:t>
      </w:r>
      <w:r>
        <w:rPr>
          <w:lang w:val="hy-AM"/>
        </w:rPr>
        <w:t xml:space="preserve"> փաստում են, որ </w:t>
      </w:r>
      <w:r w:rsidRPr="00EF6E1C">
        <w:rPr>
          <w:b/>
          <w:lang w:val="hy-AM"/>
        </w:rPr>
        <w:t xml:space="preserve">ՀՀ կառավարությանը չի հաջողվել այս ուղղությամբ </w:t>
      </w:r>
      <w:r>
        <w:rPr>
          <w:b/>
          <w:lang w:val="hy-AM"/>
        </w:rPr>
        <w:t>ապահովել էական առաջընթաց</w:t>
      </w:r>
      <w:r>
        <w:rPr>
          <w:lang w:val="hy-AM"/>
        </w:rPr>
        <w:t>:</w:t>
      </w:r>
      <w:r w:rsidRPr="00186240">
        <w:rPr>
          <w:lang w:val="hy-AM"/>
        </w:rPr>
        <w:t xml:space="preserve"> </w:t>
      </w:r>
    </w:p>
    <w:p w14:paraId="4BAF5A9E" w14:textId="77777777" w:rsidR="008E3735" w:rsidRPr="00186240" w:rsidRDefault="008E3735" w:rsidP="008E3735">
      <w:pPr>
        <w:spacing w:after="0"/>
        <w:ind w:firstLine="602"/>
        <w:rPr>
          <w:lang w:val="hy-AM"/>
        </w:rPr>
      </w:pPr>
    </w:p>
    <w:p w14:paraId="213447C7" w14:textId="77777777" w:rsidR="008E3735" w:rsidRPr="000D489A" w:rsidRDefault="008E3735" w:rsidP="008E3735">
      <w:pPr>
        <w:spacing w:after="120"/>
        <w:ind w:firstLine="602"/>
        <w:jc w:val="center"/>
        <w:rPr>
          <w:b/>
          <w:lang w:val="hy-AM"/>
        </w:rPr>
      </w:pPr>
      <w:r w:rsidRPr="000D489A">
        <w:rPr>
          <w:b/>
          <w:lang w:val="hy-AM"/>
        </w:rPr>
        <w:t xml:space="preserve">Աղյուսակ </w:t>
      </w:r>
      <w:r w:rsidR="004D0A23">
        <w:rPr>
          <w:b/>
          <w:lang w:val="hy-AM"/>
        </w:rPr>
        <w:t>2</w:t>
      </w:r>
      <w:r w:rsidRPr="00186240">
        <w:rPr>
          <w:b/>
          <w:lang w:val="hy-AM"/>
        </w:rPr>
        <w:t xml:space="preserve">. </w:t>
      </w:r>
      <w:r w:rsidRPr="000D489A">
        <w:rPr>
          <w:b/>
          <w:lang w:val="hy-AM"/>
        </w:rPr>
        <w:t>Աղքատությունը նկարագրող ցուցանիշները ՀՀ-ում</w:t>
      </w:r>
    </w:p>
    <w:tbl>
      <w:tblPr>
        <w:tblStyle w:val="TableGrid"/>
        <w:tblW w:w="8846" w:type="dxa"/>
        <w:jc w:val="center"/>
        <w:tblLook w:val="04A0" w:firstRow="1" w:lastRow="0" w:firstColumn="1" w:lastColumn="0" w:noHBand="0" w:noVBand="1"/>
      </w:tblPr>
      <w:tblGrid>
        <w:gridCol w:w="5354"/>
        <w:gridCol w:w="709"/>
        <w:gridCol w:w="708"/>
        <w:gridCol w:w="709"/>
        <w:gridCol w:w="693"/>
        <w:gridCol w:w="673"/>
      </w:tblGrid>
      <w:tr w:rsidR="00D4515D" w14:paraId="0030E511" w14:textId="77777777" w:rsidTr="00D4515D">
        <w:trPr>
          <w:trHeight w:val="397"/>
          <w:jc w:val="center"/>
        </w:trPr>
        <w:tc>
          <w:tcPr>
            <w:tcW w:w="5354" w:type="dxa"/>
            <w:vMerge w:val="restart"/>
            <w:shd w:val="clear" w:color="auto" w:fill="002060"/>
            <w:vAlign w:val="center"/>
          </w:tcPr>
          <w:p w14:paraId="6DB251BE" w14:textId="77777777" w:rsidR="00D4515D" w:rsidRPr="00186240" w:rsidRDefault="00D4515D" w:rsidP="00FC2CE7">
            <w:pPr>
              <w:spacing w:before="60" w:after="60"/>
              <w:ind w:firstLine="0"/>
              <w:jc w:val="left"/>
              <w:rPr>
                <w:lang w:val="hy-AM"/>
              </w:rPr>
            </w:pPr>
          </w:p>
        </w:tc>
        <w:tc>
          <w:tcPr>
            <w:tcW w:w="709" w:type="dxa"/>
            <w:shd w:val="clear" w:color="auto" w:fill="002060"/>
            <w:vAlign w:val="center"/>
          </w:tcPr>
          <w:p w14:paraId="6CF6C58E" w14:textId="77777777" w:rsidR="00D4515D" w:rsidRPr="00E940F5" w:rsidRDefault="00D4515D" w:rsidP="00FC2CE7">
            <w:pPr>
              <w:spacing w:before="60" w:after="60"/>
              <w:ind w:firstLine="0"/>
              <w:jc w:val="left"/>
              <w:rPr>
                <w:b/>
                <w:sz w:val="20"/>
                <w:lang w:val="hy-AM"/>
              </w:rPr>
            </w:pPr>
            <w:r w:rsidRPr="00E940F5">
              <w:rPr>
                <w:b/>
                <w:sz w:val="20"/>
                <w:lang w:val="hy-AM"/>
              </w:rPr>
              <w:t>2017</w:t>
            </w:r>
          </w:p>
        </w:tc>
        <w:tc>
          <w:tcPr>
            <w:tcW w:w="708" w:type="dxa"/>
            <w:shd w:val="clear" w:color="auto" w:fill="002060"/>
            <w:vAlign w:val="center"/>
          </w:tcPr>
          <w:p w14:paraId="5205C934" w14:textId="77777777" w:rsidR="00D4515D" w:rsidRPr="00E940F5" w:rsidRDefault="00D4515D" w:rsidP="00FC2CE7">
            <w:pPr>
              <w:spacing w:before="60" w:after="60"/>
              <w:ind w:firstLine="0"/>
              <w:jc w:val="left"/>
              <w:rPr>
                <w:b/>
                <w:sz w:val="20"/>
                <w:lang w:val="hy-AM"/>
              </w:rPr>
            </w:pPr>
            <w:r w:rsidRPr="00E940F5">
              <w:rPr>
                <w:b/>
                <w:sz w:val="20"/>
                <w:lang w:val="hy-AM"/>
              </w:rPr>
              <w:t>2018</w:t>
            </w:r>
          </w:p>
        </w:tc>
        <w:tc>
          <w:tcPr>
            <w:tcW w:w="709" w:type="dxa"/>
            <w:shd w:val="clear" w:color="auto" w:fill="002060"/>
            <w:vAlign w:val="center"/>
          </w:tcPr>
          <w:p w14:paraId="4304AA08" w14:textId="77777777" w:rsidR="00D4515D" w:rsidRPr="00E940F5" w:rsidRDefault="00D4515D" w:rsidP="00FC2CE7">
            <w:pPr>
              <w:spacing w:before="60" w:after="60"/>
              <w:ind w:firstLine="0"/>
              <w:jc w:val="left"/>
              <w:rPr>
                <w:b/>
                <w:sz w:val="20"/>
                <w:lang w:val="hy-AM"/>
              </w:rPr>
            </w:pPr>
            <w:r w:rsidRPr="00E940F5">
              <w:rPr>
                <w:b/>
                <w:sz w:val="20"/>
                <w:lang w:val="hy-AM"/>
              </w:rPr>
              <w:t>2019</w:t>
            </w:r>
          </w:p>
        </w:tc>
        <w:tc>
          <w:tcPr>
            <w:tcW w:w="693" w:type="dxa"/>
            <w:shd w:val="clear" w:color="auto" w:fill="002060"/>
            <w:vAlign w:val="center"/>
          </w:tcPr>
          <w:p w14:paraId="24FBBC17" w14:textId="77777777" w:rsidR="00D4515D" w:rsidRPr="00E940F5" w:rsidRDefault="00D4515D" w:rsidP="00FC2CE7">
            <w:pPr>
              <w:spacing w:before="60" w:after="60"/>
              <w:ind w:firstLine="0"/>
              <w:jc w:val="left"/>
              <w:rPr>
                <w:b/>
                <w:sz w:val="20"/>
                <w:lang w:val="hy-AM"/>
              </w:rPr>
            </w:pPr>
            <w:r w:rsidRPr="00E940F5">
              <w:rPr>
                <w:b/>
                <w:sz w:val="20"/>
                <w:lang w:val="hy-AM"/>
              </w:rPr>
              <w:t>2020</w:t>
            </w:r>
          </w:p>
        </w:tc>
        <w:tc>
          <w:tcPr>
            <w:tcW w:w="673" w:type="dxa"/>
            <w:shd w:val="clear" w:color="auto" w:fill="002060"/>
            <w:vAlign w:val="center"/>
          </w:tcPr>
          <w:p w14:paraId="686B8742" w14:textId="77777777" w:rsidR="00D4515D" w:rsidRPr="00E940F5" w:rsidRDefault="00D4515D" w:rsidP="00FC2CE7">
            <w:pPr>
              <w:spacing w:before="60" w:after="60"/>
              <w:ind w:firstLine="0"/>
              <w:jc w:val="left"/>
              <w:rPr>
                <w:b/>
                <w:sz w:val="20"/>
                <w:lang w:val="hy-AM"/>
              </w:rPr>
            </w:pPr>
            <w:r w:rsidRPr="00E940F5">
              <w:rPr>
                <w:b/>
                <w:sz w:val="20"/>
                <w:lang w:val="hy-AM"/>
              </w:rPr>
              <w:t>2021</w:t>
            </w:r>
          </w:p>
        </w:tc>
      </w:tr>
      <w:tr w:rsidR="00D4515D" w14:paraId="33BF811F" w14:textId="77777777" w:rsidTr="00D4515D">
        <w:trPr>
          <w:trHeight w:val="283"/>
          <w:jc w:val="center"/>
        </w:trPr>
        <w:tc>
          <w:tcPr>
            <w:tcW w:w="5354" w:type="dxa"/>
            <w:vMerge/>
            <w:shd w:val="clear" w:color="auto" w:fill="002060"/>
            <w:vAlign w:val="center"/>
          </w:tcPr>
          <w:p w14:paraId="5D5A5154" w14:textId="77777777" w:rsidR="00D4515D" w:rsidRDefault="00D4515D" w:rsidP="002D0EC3">
            <w:pPr>
              <w:ind w:firstLine="0"/>
              <w:jc w:val="left"/>
            </w:pPr>
          </w:p>
        </w:tc>
        <w:tc>
          <w:tcPr>
            <w:tcW w:w="709" w:type="dxa"/>
            <w:shd w:val="clear" w:color="auto" w:fill="002060"/>
            <w:vAlign w:val="center"/>
          </w:tcPr>
          <w:p w14:paraId="6CEEF315" w14:textId="21708408" w:rsidR="00D4515D" w:rsidRPr="008F5026" w:rsidRDefault="00D4515D" w:rsidP="002D0EC3">
            <w:pPr>
              <w:ind w:firstLine="0"/>
              <w:jc w:val="center"/>
              <w:rPr>
                <w:sz w:val="18"/>
                <w:lang w:val="hy-AM"/>
              </w:rPr>
            </w:pPr>
            <w:r w:rsidRPr="008F5026">
              <w:rPr>
                <w:sz w:val="14"/>
                <w:lang w:val="hy-AM"/>
              </w:rPr>
              <w:t>Փաստ.</w:t>
            </w:r>
          </w:p>
        </w:tc>
        <w:tc>
          <w:tcPr>
            <w:tcW w:w="708" w:type="dxa"/>
            <w:shd w:val="clear" w:color="auto" w:fill="002060"/>
            <w:vAlign w:val="center"/>
          </w:tcPr>
          <w:p w14:paraId="25F0583A" w14:textId="2ED44FE8" w:rsidR="00D4515D" w:rsidRPr="008F5026" w:rsidRDefault="00D4515D" w:rsidP="002D0EC3">
            <w:pPr>
              <w:ind w:firstLine="0"/>
              <w:jc w:val="left"/>
              <w:rPr>
                <w:sz w:val="20"/>
                <w:lang w:val="hy-AM"/>
              </w:rPr>
            </w:pPr>
            <w:r w:rsidRPr="008F5026">
              <w:rPr>
                <w:sz w:val="14"/>
                <w:lang w:val="hy-AM"/>
              </w:rPr>
              <w:t>Փաստ.</w:t>
            </w:r>
          </w:p>
        </w:tc>
        <w:tc>
          <w:tcPr>
            <w:tcW w:w="709" w:type="dxa"/>
            <w:shd w:val="clear" w:color="auto" w:fill="002060"/>
            <w:vAlign w:val="center"/>
          </w:tcPr>
          <w:p w14:paraId="10757C9E" w14:textId="220A3998" w:rsidR="00D4515D" w:rsidRPr="008F5026" w:rsidRDefault="00D4515D" w:rsidP="002D0EC3">
            <w:pPr>
              <w:ind w:firstLine="0"/>
              <w:jc w:val="left"/>
              <w:rPr>
                <w:sz w:val="20"/>
                <w:lang w:val="hy-AM"/>
              </w:rPr>
            </w:pPr>
            <w:r w:rsidRPr="008F5026">
              <w:rPr>
                <w:sz w:val="14"/>
                <w:lang w:val="hy-AM"/>
              </w:rPr>
              <w:t>Փաստ.</w:t>
            </w:r>
          </w:p>
        </w:tc>
        <w:tc>
          <w:tcPr>
            <w:tcW w:w="693" w:type="dxa"/>
            <w:shd w:val="clear" w:color="auto" w:fill="002060"/>
            <w:vAlign w:val="center"/>
          </w:tcPr>
          <w:p w14:paraId="063A812F" w14:textId="7FDA0615" w:rsidR="00D4515D" w:rsidRPr="008F5026" w:rsidRDefault="00D4515D" w:rsidP="002D0EC3">
            <w:pPr>
              <w:ind w:firstLine="0"/>
              <w:jc w:val="left"/>
              <w:rPr>
                <w:sz w:val="20"/>
                <w:lang w:val="hy-AM"/>
              </w:rPr>
            </w:pPr>
            <w:r w:rsidRPr="008F5026">
              <w:rPr>
                <w:sz w:val="14"/>
                <w:lang w:val="hy-AM"/>
              </w:rPr>
              <w:t>Նախն.</w:t>
            </w:r>
          </w:p>
        </w:tc>
        <w:tc>
          <w:tcPr>
            <w:tcW w:w="673" w:type="dxa"/>
            <w:shd w:val="clear" w:color="auto" w:fill="002060"/>
            <w:vAlign w:val="center"/>
          </w:tcPr>
          <w:p w14:paraId="0D7A9C01" w14:textId="11F82B9F" w:rsidR="00D4515D" w:rsidRPr="008F5026" w:rsidRDefault="00D4515D" w:rsidP="002D0EC3">
            <w:pPr>
              <w:ind w:firstLine="0"/>
              <w:jc w:val="left"/>
              <w:rPr>
                <w:sz w:val="20"/>
                <w:lang w:val="hy-AM"/>
              </w:rPr>
            </w:pPr>
            <w:r w:rsidRPr="008F5026">
              <w:rPr>
                <w:sz w:val="14"/>
                <w:lang w:val="hy-AM"/>
              </w:rPr>
              <w:t>Կանխ.</w:t>
            </w:r>
          </w:p>
        </w:tc>
      </w:tr>
      <w:tr w:rsidR="008E3735" w14:paraId="50205468" w14:textId="77777777" w:rsidTr="00D4515D">
        <w:trPr>
          <w:trHeight w:val="279"/>
          <w:jc w:val="center"/>
        </w:trPr>
        <w:tc>
          <w:tcPr>
            <w:tcW w:w="5354" w:type="dxa"/>
            <w:vMerge w:val="restart"/>
            <w:vAlign w:val="center"/>
          </w:tcPr>
          <w:p w14:paraId="6ED07AD7" w14:textId="77777777" w:rsidR="008E3735" w:rsidRPr="00B07A60" w:rsidRDefault="008E3735" w:rsidP="00FC2CE7">
            <w:pPr>
              <w:ind w:firstLine="0"/>
              <w:jc w:val="left"/>
              <w:rPr>
                <w:sz w:val="20"/>
              </w:rPr>
            </w:pPr>
            <w:r w:rsidRPr="00B07A60">
              <w:rPr>
                <w:sz w:val="20"/>
                <w:lang w:val="hy-AM"/>
              </w:rPr>
              <w:t>Աղքատության մակարդակը, %</w:t>
            </w:r>
          </w:p>
        </w:tc>
        <w:tc>
          <w:tcPr>
            <w:tcW w:w="709" w:type="dxa"/>
            <w:vMerge w:val="restart"/>
            <w:vAlign w:val="center"/>
          </w:tcPr>
          <w:p w14:paraId="4F0576C1" w14:textId="77777777" w:rsidR="008E3735" w:rsidRPr="00B07A60" w:rsidRDefault="008E3735" w:rsidP="00FC2CE7">
            <w:pPr>
              <w:ind w:firstLine="0"/>
              <w:jc w:val="left"/>
              <w:rPr>
                <w:sz w:val="18"/>
                <w:lang w:val="hy-AM"/>
              </w:rPr>
            </w:pPr>
            <w:r w:rsidRPr="00B07A60">
              <w:rPr>
                <w:sz w:val="18"/>
                <w:lang w:val="hy-AM"/>
              </w:rPr>
              <w:t>25.7</w:t>
            </w:r>
          </w:p>
        </w:tc>
        <w:tc>
          <w:tcPr>
            <w:tcW w:w="708" w:type="dxa"/>
            <w:vMerge w:val="restart"/>
            <w:vAlign w:val="center"/>
          </w:tcPr>
          <w:p w14:paraId="1FA99A83" w14:textId="77777777" w:rsidR="008E3735" w:rsidRPr="00B07A60" w:rsidRDefault="008E3735" w:rsidP="00FC2CE7">
            <w:pPr>
              <w:ind w:firstLine="0"/>
              <w:jc w:val="left"/>
              <w:rPr>
                <w:sz w:val="18"/>
                <w:lang w:val="hy-AM"/>
              </w:rPr>
            </w:pPr>
            <w:r w:rsidRPr="00B07A60">
              <w:rPr>
                <w:sz w:val="18"/>
                <w:lang w:val="hy-AM"/>
              </w:rPr>
              <w:t>23.5</w:t>
            </w:r>
          </w:p>
        </w:tc>
        <w:tc>
          <w:tcPr>
            <w:tcW w:w="709" w:type="dxa"/>
            <w:vAlign w:val="center"/>
          </w:tcPr>
          <w:p w14:paraId="4899699B" w14:textId="77777777" w:rsidR="008E3735" w:rsidRPr="00B07A60" w:rsidRDefault="008E3735" w:rsidP="00FC2CE7">
            <w:pPr>
              <w:ind w:firstLine="0"/>
              <w:jc w:val="left"/>
              <w:rPr>
                <w:sz w:val="18"/>
                <w:lang w:val="hy-AM"/>
              </w:rPr>
            </w:pPr>
            <w:r w:rsidRPr="00B07A60">
              <w:rPr>
                <w:sz w:val="18"/>
                <w:lang w:val="hy-AM"/>
              </w:rPr>
              <w:t>24.9</w:t>
            </w:r>
          </w:p>
        </w:tc>
        <w:tc>
          <w:tcPr>
            <w:tcW w:w="693" w:type="dxa"/>
            <w:vMerge w:val="restart"/>
            <w:vAlign w:val="center"/>
          </w:tcPr>
          <w:p w14:paraId="40754D3B" w14:textId="77777777" w:rsidR="008E3735" w:rsidRPr="00B07A60" w:rsidRDefault="008E3735" w:rsidP="00FC2CE7">
            <w:pPr>
              <w:ind w:firstLine="0"/>
              <w:jc w:val="left"/>
              <w:rPr>
                <w:sz w:val="18"/>
                <w:lang w:val="hy-AM"/>
              </w:rPr>
            </w:pPr>
            <w:r w:rsidRPr="00B07A60">
              <w:rPr>
                <w:sz w:val="18"/>
                <w:lang w:val="hy-AM"/>
              </w:rPr>
              <w:t>-</w:t>
            </w:r>
          </w:p>
        </w:tc>
        <w:tc>
          <w:tcPr>
            <w:tcW w:w="673" w:type="dxa"/>
            <w:vMerge w:val="restart"/>
            <w:vAlign w:val="center"/>
          </w:tcPr>
          <w:p w14:paraId="6F2095D1" w14:textId="77777777" w:rsidR="008E3735" w:rsidRPr="00B07A60" w:rsidRDefault="008E3735" w:rsidP="00FC2CE7">
            <w:pPr>
              <w:ind w:firstLine="0"/>
              <w:jc w:val="left"/>
              <w:rPr>
                <w:sz w:val="18"/>
                <w:lang w:val="hy-AM"/>
              </w:rPr>
            </w:pPr>
            <w:r w:rsidRPr="00B07A60">
              <w:rPr>
                <w:sz w:val="18"/>
                <w:lang w:val="hy-AM"/>
              </w:rPr>
              <w:t>-</w:t>
            </w:r>
          </w:p>
        </w:tc>
      </w:tr>
      <w:tr w:rsidR="008E3735" w14:paraId="021ECA0C" w14:textId="77777777" w:rsidTr="00D4515D">
        <w:trPr>
          <w:trHeight w:val="248"/>
          <w:jc w:val="center"/>
        </w:trPr>
        <w:tc>
          <w:tcPr>
            <w:tcW w:w="5354" w:type="dxa"/>
            <w:vMerge/>
            <w:vAlign w:val="center"/>
          </w:tcPr>
          <w:p w14:paraId="0352FFC3" w14:textId="77777777" w:rsidR="008E3735" w:rsidRPr="00B07A60" w:rsidRDefault="008E3735" w:rsidP="00FC2CE7">
            <w:pPr>
              <w:ind w:firstLine="0"/>
              <w:jc w:val="left"/>
              <w:rPr>
                <w:sz w:val="20"/>
                <w:lang w:val="hy-AM"/>
              </w:rPr>
            </w:pPr>
          </w:p>
        </w:tc>
        <w:tc>
          <w:tcPr>
            <w:tcW w:w="709" w:type="dxa"/>
            <w:vMerge/>
            <w:vAlign w:val="center"/>
          </w:tcPr>
          <w:p w14:paraId="222A977C" w14:textId="77777777" w:rsidR="008E3735" w:rsidRPr="00B07A60" w:rsidRDefault="008E3735" w:rsidP="00FC2CE7">
            <w:pPr>
              <w:ind w:firstLine="0"/>
              <w:jc w:val="left"/>
              <w:rPr>
                <w:sz w:val="18"/>
                <w:lang w:val="hy-AM"/>
              </w:rPr>
            </w:pPr>
          </w:p>
        </w:tc>
        <w:tc>
          <w:tcPr>
            <w:tcW w:w="708" w:type="dxa"/>
            <w:vMerge/>
            <w:vAlign w:val="center"/>
          </w:tcPr>
          <w:p w14:paraId="57023A01" w14:textId="77777777" w:rsidR="008E3735" w:rsidRPr="00B07A60" w:rsidRDefault="008E3735" w:rsidP="00FC2CE7">
            <w:pPr>
              <w:ind w:firstLine="0"/>
              <w:jc w:val="left"/>
              <w:rPr>
                <w:sz w:val="18"/>
                <w:lang w:val="hy-AM"/>
              </w:rPr>
            </w:pPr>
          </w:p>
        </w:tc>
        <w:tc>
          <w:tcPr>
            <w:tcW w:w="709" w:type="dxa"/>
            <w:vAlign w:val="center"/>
          </w:tcPr>
          <w:p w14:paraId="0B780D8F" w14:textId="77777777" w:rsidR="008E3735" w:rsidRPr="00B07A60" w:rsidRDefault="008E3735" w:rsidP="00FC2CE7">
            <w:pPr>
              <w:ind w:firstLine="0"/>
              <w:jc w:val="left"/>
              <w:rPr>
                <w:sz w:val="18"/>
                <w:lang w:val="hy-AM"/>
              </w:rPr>
            </w:pPr>
            <w:r w:rsidRPr="00B07A60">
              <w:rPr>
                <w:sz w:val="18"/>
                <w:lang w:val="hy-AM"/>
              </w:rPr>
              <w:t>26.4</w:t>
            </w:r>
            <w:r w:rsidRPr="00B07A60">
              <w:rPr>
                <w:rStyle w:val="FootnoteReference"/>
                <w:sz w:val="18"/>
                <w:lang w:val="hy-AM"/>
              </w:rPr>
              <w:footnoteReference w:id="31"/>
            </w:r>
          </w:p>
        </w:tc>
        <w:tc>
          <w:tcPr>
            <w:tcW w:w="693" w:type="dxa"/>
            <w:vMerge/>
            <w:vAlign w:val="center"/>
          </w:tcPr>
          <w:p w14:paraId="17ACEE95" w14:textId="77777777" w:rsidR="008E3735" w:rsidRPr="00B07A60" w:rsidRDefault="008E3735" w:rsidP="00FC2CE7">
            <w:pPr>
              <w:ind w:firstLine="0"/>
              <w:jc w:val="left"/>
              <w:rPr>
                <w:sz w:val="18"/>
              </w:rPr>
            </w:pPr>
          </w:p>
        </w:tc>
        <w:tc>
          <w:tcPr>
            <w:tcW w:w="673" w:type="dxa"/>
            <w:vMerge/>
            <w:vAlign w:val="center"/>
          </w:tcPr>
          <w:p w14:paraId="6049967B" w14:textId="77777777" w:rsidR="008E3735" w:rsidRPr="00B07A60" w:rsidRDefault="008E3735" w:rsidP="00FC2CE7">
            <w:pPr>
              <w:ind w:firstLine="0"/>
              <w:jc w:val="left"/>
              <w:rPr>
                <w:sz w:val="18"/>
              </w:rPr>
            </w:pPr>
          </w:p>
        </w:tc>
      </w:tr>
      <w:tr w:rsidR="008E3735" w14:paraId="5CAA8137" w14:textId="77777777" w:rsidTr="00D4515D">
        <w:trPr>
          <w:trHeight w:val="283"/>
          <w:jc w:val="center"/>
        </w:trPr>
        <w:tc>
          <w:tcPr>
            <w:tcW w:w="5354" w:type="dxa"/>
            <w:vAlign w:val="center"/>
          </w:tcPr>
          <w:p w14:paraId="7239EE45" w14:textId="77777777" w:rsidR="008E3735" w:rsidRPr="00B07A60" w:rsidRDefault="008E3735" w:rsidP="00FC2CE7">
            <w:pPr>
              <w:ind w:left="171" w:firstLine="0"/>
              <w:jc w:val="left"/>
              <w:rPr>
                <w:sz w:val="20"/>
              </w:rPr>
            </w:pPr>
            <w:r w:rsidRPr="00B07A60">
              <w:rPr>
                <w:sz w:val="20"/>
                <w:lang w:val="hy-AM"/>
              </w:rPr>
              <w:t>որից` ծայրահեղ աղքատության մակարդակը</w:t>
            </w:r>
            <w:r w:rsidRPr="00B07A60">
              <w:rPr>
                <w:rStyle w:val="FootnoteReference"/>
                <w:sz w:val="20"/>
                <w:lang w:val="hy-AM"/>
              </w:rPr>
              <w:footnoteReference w:id="32"/>
            </w:r>
            <w:r w:rsidRPr="00B07A60">
              <w:rPr>
                <w:sz w:val="20"/>
                <w:lang w:val="hy-AM"/>
              </w:rPr>
              <w:t>, %</w:t>
            </w:r>
          </w:p>
        </w:tc>
        <w:tc>
          <w:tcPr>
            <w:tcW w:w="709" w:type="dxa"/>
            <w:vAlign w:val="center"/>
          </w:tcPr>
          <w:p w14:paraId="3376CAF3" w14:textId="77777777" w:rsidR="008E3735" w:rsidRPr="00B07A60" w:rsidRDefault="008E3735" w:rsidP="00FC2CE7">
            <w:pPr>
              <w:ind w:firstLine="0"/>
              <w:jc w:val="left"/>
              <w:rPr>
                <w:sz w:val="18"/>
                <w:lang w:val="hy-AM"/>
              </w:rPr>
            </w:pPr>
            <w:r w:rsidRPr="00B07A60">
              <w:rPr>
                <w:sz w:val="18"/>
                <w:lang w:val="hy-AM"/>
              </w:rPr>
              <w:t>1.4</w:t>
            </w:r>
          </w:p>
        </w:tc>
        <w:tc>
          <w:tcPr>
            <w:tcW w:w="708" w:type="dxa"/>
            <w:vAlign w:val="center"/>
          </w:tcPr>
          <w:p w14:paraId="6F549CD3" w14:textId="77777777" w:rsidR="008E3735" w:rsidRPr="00B07A60" w:rsidRDefault="008E3735" w:rsidP="00FC2CE7">
            <w:pPr>
              <w:ind w:firstLine="0"/>
              <w:jc w:val="left"/>
              <w:rPr>
                <w:sz w:val="18"/>
                <w:lang w:val="hy-AM"/>
              </w:rPr>
            </w:pPr>
            <w:r w:rsidRPr="00B07A60">
              <w:rPr>
                <w:sz w:val="18"/>
                <w:lang w:val="hy-AM"/>
              </w:rPr>
              <w:t>1.0</w:t>
            </w:r>
          </w:p>
        </w:tc>
        <w:tc>
          <w:tcPr>
            <w:tcW w:w="709" w:type="dxa"/>
            <w:vAlign w:val="center"/>
          </w:tcPr>
          <w:p w14:paraId="1C112E9C" w14:textId="77777777" w:rsidR="008E3735" w:rsidRPr="00B07A60" w:rsidRDefault="008E3735" w:rsidP="00FC2CE7">
            <w:pPr>
              <w:ind w:firstLine="0"/>
              <w:jc w:val="left"/>
              <w:rPr>
                <w:sz w:val="18"/>
                <w:lang w:val="hy-AM"/>
              </w:rPr>
            </w:pPr>
            <w:r w:rsidRPr="00B07A60">
              <w:rPr>
                <w:sz w:val="18"/>
                <w:lang w:val="hy-AM"/>
              </w:rPr>
              <w:t>1.4</w:t>
            </w:r>
          </w:p>
        </w:tc>
        <w:tc>
          <w:tcPr>
            <w:tcW w:w="693" w:type="dxa"/>
            <w:vAlign w:val="center"/>
          </w:tcPr>
          <w:p w14:paraId="5A35D623" w14:textId="77777777" w:rsidR="008E3735" w:rsidRPr="00B07A60" w:rsidRDefault="008E3735" w:rsidP="00FC2CE7">
            <w:pPr>
              <w:ind w:firstLine="0"/>
              <w:jc w:val="left"/>
              <w:rPr>
                <w:sz w:val="18"/>
                <w:lang w:val="hy-AM"/>
              </w:rPr>
            </w:pPr>
            <w:r w:rsidRPr="00B07A60">
              <w:rPr>
                <w:sz w:val="18"/>
                <w:lang w:val="hy-AM"/>
              </w:rPr>
              <w:t>-</w:t>
            </w:r>
          </w:p>
        </w:tc>
        <w:tc>
          <w:tcPr>
            <w:tcW w:w="673" w:type="dxa"/>
            <w:vAlign w:val="center"/>
          </w:tcPr>
          <w:p w14:paraId="5E64D0C8" w14:textId="77777777" w:rsidR="008E3735" w:rsidRPr="00B07A60" w:rsidRDefault="008E3735" w:rsidP="00FC2CE7">
            <w:pPr>
              <w:ind w:firstLine="0"/>
              <w:jc w:val="left"/>
              <w:rPr>
                <w:sz w:val="18"/>
                <w:lang w:val="hy-AM"/>
              </w:rPr>
            </w:pPr>
            <w:r w:rsidRPr="00B07A60">
              <w:rPr>
                <w:sz w:val="18"/>
                <w:lang w:val="hy-AM"/>
              </w:rPr>
              <w:t>-</w:t>
            </w:r>
          </w:p>
        </w:tc>
      </w:tr>
      <w:tr w:rsidR="008E3735" w14:paraId="5C8305C6" w14:textId="77777777" w:rsidTr="00D4515D">
        <w:trPr>
          <w:jc w:val="center"/>
        </w:trPr>
        <w:tc>
          <w:tcPr>
            <w:tcW w:w="5354" w:type="dxa"/>
            <w:vAlign w:val="center"/>
          </w:tcPr>
          <w:p w14:paraId="142BFECA" w14:textId="77777777" w:rsidR="008E3735" w:rsidRPr="00B07A60" w:rsidRDefault="008E3735" w:rsidP="00FC2CE7">
            <w:pPr>
              <w:ind w:firstLine="0"/>
              <w:jc w:val="left"/>
              <w:rPr>
                <w:sz w:val="20"/>
              </w:rPr>
            </w:pPr>
            <w:r w:rsidRPr="00B07A60">
              <w:rPr>
                <w:sz w:val="20"/>
                <w:lang w:val="hy-AM"/>
              </w:rPr>
              <w:t xml:space="preserve">Աղքատության մակարդակը, </w:t>
            </w:r>
            <w:r w:rsidRPr="00B07A60">
              <w:rPr>
                <w:sz w:val="20"/>
              </w:rPr>
              <w:t>%,</w:t>
            </w:r>
            <w:r w:rsidRPr="00B07A60">
              <w:rPr>
                <w:sz w:val="20"/>
                <w:lang w:val="hy-AM"/>
              </w:rPr>
              <w:t xml:space="preserve"> ըստ Համաշխարհային բանկի գնահատականի</w:t>
            </w:r>
            <w:r w:rsidRPr="00B07A60">
              <w:rPr>
                <w:rStyle w:val="FootnoteReference"/>
                <w:sz w:val="20"/>
                <w:lang w:val="hy-AM"/>
              </w:rPr>
              <w:footnoteReference w:id="33"/>
            </w:r>
          </w:p>
        </w:tc>
        <w:tc>
          <w:tcPr>
            <w:tcW w:w="709" w:type="dxa"/>
            <w:vAlign w:val="center"/>
          </w:tcPr>
          <w:p w14:paraId="76DA3CC2" w14:textId="77777777" w:rsidR="008E3735" w:rsidRPr="00B07A60" w:rsidRDefault="008E3735" w:rsidP="00FC2CE7">
            <w:pPr>
              <w:ind w:firstLine="0"/>
              <w:jc w:val="left"/>
              <w:rPr>
                <w:sz w:val="18"/>
              </w:rPr>
            </w:pPr>
            <w:r w:rsidRPr="00B07A60">
              <w:rPr>
                <w:sz w:val="18"/>
              </w:rPr>
              <w:t>41.5</w:t>
            </w:r>
          </w:p>
        </w:tc>
        <w:tc>
          <w:tcPr>
            <w:tcW w:w="708" w:type="dxa"/>
            <w:vAlign w:val="center"/>
          </w:tcPr>
          <w:p w14:paraId="2D59D337" w14:textId="77777777" w:rsidR="008E3735" w:rsidRPr="00B07A60" w:rsidRDefault="008E3735" w:rsidP="00FC2CE7">
            <w:pPr>
              <w:ind w:firstLine="0"/>
              <w:jc w:val="left"/>
              <w:rPr>
                <w:sz w:val="18"/>
                <w:lang w:val="hy-AM"/>
              </w:rPr>
            </w:pPr>
            <w:r w:rsidRPr="00B07A60">
              <w:rPr>
                <w:sz w:val="18"/>
                <w:lang w:val="hy-AM"/>
              </w:rPr>
              <w:t>42.5</w:t>
            </w:r>
          </w:p>
        </w:tc>
        <w:tc>
          <w:tcPr>
            <w:tcW w:w="709" w:type="dxa"/>
            <w:vAlign w:val="center"/>
          </w:tcPr>
          <w:p w14:paraId="6A08BED1" w14:textId="77777777" w:rsidR="008E3735" w:rsidRPr="00B07A60" w:rsidRDefault="008E3735" w:rsidP="00FC2CE7">
            <w:pPr>
              <w:ind w:firstLine="0"/>
              <w:jc w:val="left"/>
              <w:rPr>
                <w:sz w:val="18"/>
                <w:lang w:val="hy-AM"/>
              </w:rPr>
            </w:pPr>
            <w:r w:rsidRPr="00B07A60">
              <w:rPr>
                <w:sz w:val="18"/>
                <w:lang w:val="hy-AM"/>
              </w:rPr>
              <w:t>44.0</w:t>
            </w:r>
          </w:p>
        </w:tc>
        <w:tc>
          <w:tcPr>
            <w:tcW w:w="693" w:type="dxa"/>
            <w:vAlign w:val="center"/>
          </w:tcPr>
          <w:p w14:paraId="6C8D4FF5" w14:textId="77777777" w:rsidR="008E3735" w:rsidRPr="00B07A60" w:rsidRDefault="008E3735" w:rsidP="00FC2CE7">
            <w:pPr>
              <w:ind w:firstLine="0"/>
              <w:jc w:val="left"/>
              <w:rPr>
                <w:sz w:val="18"/>
                <w:lang w:val="hy-AM"/>
              </w:rPr>
            </w:pPr>
            <w:r w:rsidRPr="00B07A60">
              <w:rPr>
                <w:sz w:val="18"/>
                <w:lang w:val="hy-AM"/>
              </w:rPr>
              <w:t>50.2</w:t>
            </w:r>
          </w:p>
        </w:tc>
        <w:tc>
          <w:tcPr>
            <w:tcW w:w="673" w:type="dxa"/>
            <w:vAlign w:val="center"/>
          </w:tcPr>
          <w:p w14:paraId="044169C3" w14:textId="77777777" w:rsidR="008E3735" w:rsidRPr="00B07A60" w:rsidRDefault="008E3735" w:rsidP="00FC2CE7">
            <w:pPr>
              <w:ind w:firstLine="0"/>
              <w:jc w:val="left"/>
              <w:rPr>
                <w:sz w:val="18"/>
                <w:lang w:val="hy-AM"/>
              </w:rPr>
            </w:pPr>
            <w:r w:rsidRPr="00B07A60">
              <w:rPr>
                <w:sz w:val="18"/>
                <w:lang w:val="hy-AM"/>
              </w:rPr>
              <w:t>46.4</w:t>
            </w:r>
          </w:p>
        </w:tc>
      </w:tr>
      <w:tr w:rsidR="008E3735" w14:paraId="5D1A91E4" w14:textId="77777777" w:rsidTr="00D4515D">
        <w:trPr>
          <w:jc w:val="center"/>
        </w:trPr>
        <w:tc>
          <w:tcPr>
            <w:tcW w:w="5354" w:type="dxa"/>
            <w:vAlign w:val="center"/>
          </w:tcPr>
          <w:p w14:paraId="29817604" w14:textId="65E92F4E" w:rsidR="008E3735" w:rsidRPr="00B07A60" w:rsidRDefault="008E3735" w:rsidP="00FC2CE7">
            <w:pPr>
              <w:ind w:firstLine="0"/>
              <w:jc w:val="left"/>
              <w:rPr>
                <w:sz w:val="20"/>
              </w:rPr>
            </w:pPr>
            <w:r w:rsidRPr="00B07A60">
              <w:rPr>
                <w:sz w:val="20"/>
                <w:lang w:val="hy-AM"/>
              </w:rPr>
              <w:t>Ջինիի գործակիցը</w:t>
            </w:r>
            <w:r w:rsidR="00B96FD7">
              <w:rPr>
                <w:sz w:val="20"/>
                <w:lang w:val="hy-AM"/>
              </w:rPr>
              <w:t>՝</w:t>
            </w:r>
            <w:r w:rsidRPr="00B07A60">
              <w:rPr>
                <w:sz w:val="20"/>
                <w:lang w:val="hy-AM"/>
              </w:rPr>
              <w:t xml:space="preserve"> ըստ եկամուտների անհավասարության</w:t>
            </w:r>
            <w:r w:rsidRPr="00B07A60">
              <w:rPr>
                <w:rStyle w:val="FootnoteReference"/>
                <w:sz w:val="20"/>
                <w:lang w:val="hy-AM"/>
              </w:rPr>
              <w:footnoteReference w:id="34"/>
            </w:r>
          </w:p>
        </w:tc>
        <w:tc>
          <w:tcPr>
            <w:tcW w:w="709" w:type="dxa"/>
            <w:vAlign w:val="center"/>
          </w:tcPr>
          <w:p w14:paraId="66993F4F" w14:textId="77777777" w:rsidR="008E3735" w:rsidRPr="00B07A60" w:rsidRDefault="008E3735" w:rsidP="00FC2CE7">
            <w:pPr>
              <w:ind w:firstLine="0"/>
              <w:jc w:val="left"/>
              <w:rPr>
                <w:sz w:val="18"/>
                <w:lang w:val="hy-AM"/>
              </w:rPr>
            </w:pPr>
            <w:r w:rsidRPr="00B07A60">
              <w:rPr>
                <w:sz w:val="18"/>
                <w:lang w:val="hy-AM"/>
              </w:rPr>
              <w:t>0.359</w:t>
            </w:r>
          </w:p>
        </w:tc>
        <w:tc>
          <w:tcPr>
            <w:tcW w:w="708" w:type="dxa"/>
            <w:vAlign w:val="center"/>
          </w:tcPr>
          <w:p w14:paraId="201E9AF5" w14:textId="77777777" w:rsidR="008E3735" w:rsidRPr="00B07A60" w:rsidRDefault="008E3735" w:rsidP="00FC2CE7">
            <w:pPr>
              <w:ind w:firstLine="0"/>
              <w:jc w:val="left"/>
              <w:rPr>
                <w:sz w:val="18"/>
                <w:lang w:val="hy-AM"/>
              </w:rPr>
            </w:pPr>
            <w:r w:rsidRPr="00B07A60">
              <w:rPr>
                <w:sz w:val="18"/>
                <w:lang w:val="hy-AM"/>
              </w:rPr>
              <w:t>0.360</w:t>
            </w:r>
          </w:p>
        </w:tc>
        <w:tc>
          <w:tcPr>
            <w:tcW w:w="709" w:type="dxa"/>
            <w:vAlign w:val="center"/>
          </w:tcPr>
          <w:p w14:paraId="512B7A00" w14:textId="77777777" w:rsidR="008E3735" w:rsidRPr="00B07A60" w:rsidRDefault="008E3735" w:rsidP="00FC2CE7">
            <w:pPr>
              <w:ind w:firstLine="0"/>
              <w:jc w:val="left"/>
              <w:rPr>
                <w:sz w:val="18"/>
                <w:lang w:val="hy-AM"/>
              </w:rPr>
            </w:pPr>
            <w:r w:rsidRPr="00B07A60">
              <w:rPr>
                <w:sz w:val="18"/>
                <w:lang w:val="hy-AM"/>
              </w:rPr>
              <w:t>0.381</w:t>
            </w:r>
          </w:p>
        </w:tc>
        <w:tc>
          <w:tcPr>
            <w:tcW w:w="693" w:type="dxa"/>
            <w:vAlign w:val="center"/>
          </w:tcPr>
          <w:p w14:paraId="0BF43968" w14:textId="77777777" w:rsidR="008E3735" w:rsidRPr="00B07A60" w:rsidRDefault="008E3735" w:rsidP="00FC2CE7">
            <w:pPr>
              <w:ind w:firstLine="0"/>
              <w:jc w:val="left"/>
              <w:rPr>
                <w:sz w:val="18"/>
                <w:lang w:val="hy-AM"/>
              </w:rPr>
            </w:pPr>
            <w:r w:rsidRPr="00B07A60">
              <w:rPr>
                <w:sz w:val="18"/>
                <w:lang w:val="hy-AM"/>
              </w:rPr>
              <w:t>-</w:t>
            </w:r>
          </w:p>
        </w:tc>
        <w:tc>
          <w:tcPr>
            <w:tcW w:w="673" w:type="dxa"/>
            <w:vAlign w:val="center"/>
          </w:tcPr>
          <w:p w14:paraId="334AF15F" w14:textId="77777777" w:rsidR="008E3735" w:rsidRPr="00B07A60" w:rsidRDefault="008E3735" w:rsidP="00FC2CE7">
            <w:pPr>
              <w:ind w:firstLine="0"/>
              <w:jc w:val="left"/>
              <w:rPr>
                <w:sz w:val="18"/>
                <w:lang w:val="hy-AM"/>
              </w:rPr>
            </w:pPr>
            <w:r w:rsidRPr="00B07A60">
              <w:rPr>
                <w:sz w:val="18"/>
                <w:lang w:val="hy-AM"/>
              </w:rPr>
              <w:t>-</w:t>
            </w:r>
          </w:p>
        </w:tc>
      </w:tr>
    </w:tbl>
    <w:p w14:paraId="5E67E003" w14:textId="3DC8ADE2" w:rsidR="008E3735" w:rsidRDefault="008E3735">
      <w:pPr>
        <w:spacing w:before="240"/>
        <w:ind w:firstLine="602"/>
        <w:rPr>
          <w:lang w:val="hy-AM"/>
        </w:rPr>
      </w:pPr>
      <w:r w:rsidRPr="0091007E">
        <w:t>Այսպես</w:t>
      </w:r>
      <w:r>
        <w:t>, 2018</w:t>
      </w:r>
      <w:r>
        <w:rPr>
          <w:lang w:val="hy-AM"/>
        </w:rPr>
        <w:t>թ.</w:t>
      </w:r>
      <w:r w:rsidRPr="0091007E">
        <w:t xml:space="preserve"> </w:t>
      </w:r>
      <w:proofErr w:type="gramStart"/>
      <w:r w:rsidRPr="0091007E">
        <w:t>նախորդ</w:t>
      </w:r>
      <w:proofErr w:type="gramEnd"/>
      <w:r w:rsidRPr="0091007E">
        <w:t xml:space="preserve"> տարվա համեմատ աղքատությունը կրճատվել է 2.2 տոկոսային կետով</w:t>
      </w:r>
      <w:r>
        <w:t xml:space="preserve">, </w:t>
      </w:r>
      <w:r>
        <w:rPr>
          <w:lang w:val="hy-AM"/>
        </w:rPr>
        <w:t xml:space="preserve">իսկ </w:t>
      </w:r>
      <w:r>
        <w:t xml:space="preserve">2019-ին </w:t>
      </w:r>
      <w:r w:rsidRPr="0091007E">
        <w:t>2018-ի համեմատ արձանագրվել է աղքատության մակարդակի բարձրացում շուրջ 1.4 տոկոսային կետով</w:t>
      </w:r>
      <w:r>
        <w:t>,</w:t>
      </w:r>
      <w:r w:rsidRPr="0091007E">
        <w:t xml:space="preserve"> ինչի արդյունքում այն կազմել է 24.9%:</w:t>
      </w:r>
      <w:r>
        <w:rPr>
          <w:lang w:val="hy-AM"/>
        </w:rPr>
        <w:t xml:space="preserve"> </w:t>
      </w:r>
      <w:r w:rsidRPr="00CC3D9F">
        <w:rPr>
          <w:b/>
          <w:lang w:val="hy-AM"/>
        </w:rPr>
        <w:t>Արդյունքում 2018-2019թթ. 2017-ի համեմատ ՀՀ կառավարությանը հաջողվել է աղքատությունը նվազեցնել 0.8 տոկոսային կետով:</w:t>
      </w:r>
      <w:r w:rsidR="00042AAC">
        <w:rPr>
          <w:lang w:val="hy-AM"/>
        </w:rPr>
        <w:t xml:space="preserve"> </w:t>
      </w:r>
      <w:r>
        <w:rPr>
          <w:lang w:val="hy-AM"/>
        </w:rPr>
        <w:t>Նշենք, որ ՀՀ ՎԿ մեթոդաբանական վերանայումների արդյունքում աղքատության մակարդակը 2019-ին գնահատվել է 26.4</w:t>
      </w:r>
      <w:r w:rsidRPr="00186240">
        <w:rPr>
          <w:lang w:val="hy-AM"/>
        </w:rPr>
        <w:t>%</w:t>
      </w:r>
      <w:r>
        <w:rPr>
          <w:lang w:val="hy-AM"/>
        </w:rPr>
        <w:t xml:space="preserve">, և այն շարունակում է պահպանվել բավական բարձր մակարդակում: </w:t>
      </w:r>
      <w:r w:rsidRPr="00047F40">
        <w:rPr>
          <w:b/>
          <w:lang w:val="hy-AM"/>
        </w:rPr>
        <w:t>Թեև 2020 թվականի տվյալները դեռևս չեն հրապարակվել, սակայն ակնհայտ է, որ ճգնաժամային տարում ՀՀ-ում տեղի ունեցած ծանր սոցիալ-տնտեսական իրադարձությունների հետևանքով արդյունքները միայն վատթարացած պետք է լինեն:</w:t>
      </w:r>
      <w:r>
        <w:rPr>
          <w:lang w:val="hy-AM"/>
        </w:rPr>
        <w:t xml:space="preserve"> </w:t>
      </w:r>
    </w:p>
    <w:p w14:paraId="5209BD1D" w14:textId="6F935415" w:rsidR="008E3735" w:rsidRPr="00CE0137" w:rsidRDefault="008E3735" w:rsidP="008E3735">
      <w:pPr>
        <w:spacing w:before="240"/>
        <w:ind w:firstLine="602"/>
        <w:rPr>
          <w:lang w:val="hy-AM"/>
        </w:rPr>
      </w:pPr>
      <w:r>
        <w:rPr>
          <w:lang w:val="hy-AM"/>
        </w:rPr>
        <w:t>Այս մասին են փաստում</w:t>
      </w:r>
      <w:r w:rsidRPr="00186240">
        <w:rPr>
          <w:lang w:val="hy-AM"/>
        </w:rPr>
        <w:t xml:space="preserve"> </w:t>
      </w:r>
      <w:r>
        <w:rPr>
          <w:lang w:val="hy-AM"/>
        </w:rPr>
        <w:t xml:space="preserve">նաև Համաշխարհային բանկի </w:t>
      </w:r>
      <w:r w:rsidRPr="00186240">
        <w:rPr>
          <w:lang w:val="hy-AM"/>
        </w:rPr>
        <w:t>(</w:t>
      </w:r>
      <w:r>
        <w:rPr>
          <w:lang w:val="hy-AM"/>
        </w:rPr>
        <w:t>ՀԲ</w:t>
      </w:r>
      <w:r w:rsidRPr="00186240">
        <w:rPr>
          <w:lang w:val="hy-AM"/>
        </w:rPr>
        <w:t>)</w:t>
      </w:r>
      <w:r>
        <w:rPr>
          <w:lang w:val="hy-AM"/>
        </w:rPr>
        <w:t xml:space="preserve"> գնահատականները </w:t>
      </w:r>
      <w:r w:rsidRPr="00186240">
        <w:rPr>
          <w:lang w:val="hy-AM"/>
        </w:rPr>
        <w:t>(</w:t>
      </w:r>
      <w:r>
        <w:rPr>
          <w:lang w:val="hy-AM"/>
        </w:rPr>
        <w:t xml:space="preserve">Աղյուսակ </w:t>
      </w:r>
      <w:r w:rsidR="00EC56C1">
        <w:rPr>
          <w:lang w:val="hy-AM"/>
        </w:rPr>
        <w:t>2</w:t>
      </w:r>
      <w:r w:rsidRPr="00186240">
        <w:rPr>
          <w:lang w:val="hy-AM"/>
        </w:rPr>
        <w:t>)</w:t>
      </w:r>
      <w:r>
        <w:rPr>
          <w:lang w:val="hy-AM"/>
        </w:rPr>
        <w:t xml:space="preserve">, ըստ որի` </w:t>
      </w:r>
      <w:r w:rsidRPr="001B134D">
        <w:rPr>
          <w:lang w:val="hy-AM"/>
        </w:rPr>
        <w:t>աղքատության մակարդակը</w:t>
      </w:r>
      <w:r>
        <w:rPr>
          <w:lang w:val="hy-AM"/>
        </w:rPr>
        <w:t xml:space="preserve"> ՀՀ-ում 2019-ին 2018-ի համեմատ աճել է 1.5 տոկոսային կետով և</w:t>
      </w:r>
      <w:r w:rsidRPr="001B134D">
        <w:rPr>
          <w:lang w:val="hy-AM"/>
        </w:rPr>
        <w:t xml:space="preserve"> կազմել</w:t>
      </w:r>
      <w:r>
        <w:rPr>
          <w:lang w:val="hy-AM"/>
        </w:rPr>
        <w:t xml:space="preserve"> 44%, իսկ 2021 թվականի հոկտեմբերի </w:t>
      </w:r>
      <w:r w:rsidRPr="00047F40">
        <w:rPr>
          <w:b/>
          <w:lang w:val="hy-AM"/>
        </w:rPr>
        <w:t xml:space="preserve">ՀԲ կանխատեսումներով 2020-ին աղքատության մակարդակը շեշտակի խորացել է </w:t>
      </w:r>
      <w:r w:rsidRPr="00186240">
        <w:rPr>
          <w:b/>
          <w:lang w:val="hy-AM"/>
        </w:rPr>
        <w:t>(</w:t>
      </w:r>
      <w:r w:rsidRPr="00047F40">
        <w:rPr>
          <w:b/>
          <w:lang w:val="hy-AM"/>
        </w:rPr>
        <w:t>6.2 տոկոսային կետով</w:t>
      </w:r>
      <w:r w:rsidRPr="00186240">
        <w:rPr>
          <w:b/>
          <w:lang w:val="hy-AM"/>
        </w:rPr>
        <w:t>)</w:t>
      </w:r>
      <w:r w:rsidRPr="00047F40">
        <w:rPr>
          <w:b/>
          <w:lang w:val="hy-AM"/>
        </w:rPr>
        <w:t>` կազմելով 50.2</w:t>
      </w:r>
      <w:r w:rsidRPr="00186240">
        <w:rPr>
          <w:b/>
          <w:lang w:val="hy-AM"/>
        </w:rPr>
        <w:t>%:</w:t>
      </w:r>
      <w:r w:rsidRPr="00186240">
        <w:rPr>
          <w:lang w:val="hy-AM"/>
        </w:rPr>
        <w:t xml:space="preserve"> 2021</w:t>
      </w:r>
      <w:r>
        <w:rPr>
          <w:lang w:val="hy-AM"/>
        </w:rPr>
        <w:t xml:space="preserve"> թվականին, ըստ կանխատեսումների, թեև աղքատության մակարդակը փոքր-ինչ կկրճատվի</w:t>
      </w:r>
      <w:r w:rsidR="0080140D">
        <w:rPr>
          <w:lang w:val="hy-AM"/>
        </w:rPr>
        <w:t>,</w:t>
      </w:r>
      <w:r>
        <w:rPr>
          <w:lang w:val="hy-AM"/>
        </w:rPr>
        <w:t xml:space="preserve"> այն շարունակելու է բարձր մնալ 2019-ի մակարդակից շուրջ 2.4 տոկոսային կետով` կազմելով 46.4</w:t>
      </w:r>
      <w:r w:rsidRPr="00186240">
        <w:rPr>
          <w:lang w:val="hy-AM"/>
        </w:rPr>
        <w:t>%:</w:t>
      </w:r>
    </w:p>
    <w:p w14:paraId="5AA8DC32" w14:textId="61D73B16" w:rsidR="008E3735" w:rsidRDefault="008E3735" w:rsidP="008E3735">
      <w:pPr>
        <w:spacing w:before="240"/>
        <w:ind w:firstLine="602"/>
        <w:rPr>
          <w:lang w:val="hy-AM"/>
        </w:rPr>
      </w:pPr>
      <w:r>
        <w:rPr>
          <w:lang w:val="hy-AM"/>
        </w:rPr>
        <w:lastRenderedPageBreak/>
        <w:t>Ինչ վերաբերում է ծայրահեղ աղքատությանը, ապա պետք է փաստենք, որ թեև 2018-ին նախորդ տարվա համեմատ ծայրահեղ աղքատության մակարդակը նվազել է և կազմել 1.0</w:t>
      </w:r>
      <w:r w:rsidRPr="00186240">
        <w:rPr>
          <w:lang w:val="hy-AM"/>
        </w:rPr>
        <w:t>%</w:t>
      </w:r>
      <w:r>
        <w:rPr>
          <w:lang w:val="hy-AM"/>
        </w:rPr>
        <w:t>, 2019-ին ծայրահեղ աղքատության մակարդակը խորացել է, ինչի հետևանքով այն կրկնել է 2017-ի ցուցնիշը` 1.4</w:t>
      </w:r>
      <w:r w:rsidRPr="00186240">
        <w:rPr>
          <w:lang w:val="hy-AM"/>
        </w:rPr>
        <w:t>%:</w:t>
      </w:r>
      <w:r>
        <w:rPr>
          <w:lang w:val="hy-AM"/>
        </w:rPr>
        <w:t xml:space="preserve"> </w:t>
      </w:r>
      <w:r w:rsidRPr="00047F40">
        <w:rPr>
          <w:b/>
          <w:lang w:val="hy-AM"/>
        </w:rPr>
        <w:t>Ընդ որում, ծայրահեղ աղքատության մակարդակը 2011</w:t>
      </w:r>
      <w:r w:rsidR="0080140D">
        <w:rPr>
          <w:b/>
          <w:lang w:val="hy-AM"/>
        </w:rPr>
        <w:t>-ից</w:t>
      </w:r>
      <w:r w:rsidRPr="00047F40">
        <w:rPr>
          <w:b/>
          <w:lang w:val="hy-AM"/>
        </w:rPr>
        <w:t xml:space="preserve"> ի վեր երբեք չի եղել աճող</w:t>
      </w:r>
      <w:r w:rsidRPr="00186240">
        <w:rPr>
          <w:b/>
          <w:lang w:val="hy-AM"/>
        </w:rPr>
        <w:t xml:space="preserve">, իսկ </w:t>
      </w:r>
      <w:r w:rsidRPr="00047F40">
        <w:rPr>
          <w:b/>
          <w:lang w:val="hy-AM"/>
        </w:rPr>
        <w:t>2020 թվականի դրությամբ, թեև տվյալները դեռևս չեն հրապարակվել, կրկին կարող ենք ենթադրել, որ վիճակն ավելի է վատթարացել:</w:t>
      </w:r>
      <w:r>
        <w:rPr>
          <w:lang w:val="hy-AM"/>
        </w:rPr>
        <w:t xml:space="preserve"> </w:t>
      </w:r>
    </w:p>
    <w:p w14:paraId="1B146220" w14:textId="3AB24063" w:rsidR="008E3735" w:rsidRDefault="008E3735" w:rsidP="008E3735">
      <w:pPr>
        <w:spacing w:before="240"/>
        <w:ind w:firstLine="602"/>
        <w:rPr>
          <w:lang w:val="hy-AM"/>
        </w:rPr>
      </w:pPr>
      <w:r w:rsidRPr="00B55965">
        <w:rPr>
          <w:b/>
          <w:lang w:val="hy-AM"/>
        </w:rPr>
        <w:t>Ջինիի գործակիցը, որը ցույց է տալիս եկամուտների բաշխվածության ճեղքվածքը հարուստ և աղքատ խավերի միջև</w:t>
      </w:r>
      <w:r w:rsidR="0080140D">
        <w:rPr>
          <w:b/>
          <w:lang w:val="hy-AM"/>
        </w:rPr>
        <w:t>,</w:t>
      </w:r>
      <w:r>
        <w:rPr>
          <w:b/>
          <w:lang w:val="hy-AM"/>
        </w:rPr>
        <w:t xml:space="preserve"> 2018-2019թթ. </w:t>
      </w:r>
      <w:r w:rsidRPr="00B55965">
        <w:rPr>
          <w:b/>
          <w:lang w:val="hy-AM"/>
        </w:rPr>
        <w:t xml:space="preserve">ևս </w:t>
      </w:r>
      <w:r>
        <w:rPr>
          <w:b/>
          <w:lang w:val="hy-AM"/>
        </w:rPr>
        <w:t>ունեցել է բացասական դինամիկա</w:t>
      </w:r>
      <w:r w:rsidRPr="00B55965">
        <w:rPr>
          <w:b/>
          <w:lang w:val="hy-AM"/>
        </w:rPr>
        <w:t>:</w:t>
      </w:r>
      <w:r>
        <w:rPr>
          <w:lang w:val="hy-AM"/>
        </w:rPr>
        <w:t xml:space="preserve"> Ընդ որում, 2019-ին 2018-ի համեմատ եկամուտների բաշխման անհավասարության խորացումը շատ ավելի նկատելի է </w:t>
      </w:r>
      <w:r w:rsidRPr="00186240">
        <w:rPr>
          <w:lang w:val="hy-AM"/>
        </w:rPr>
        <w:t>(</w:t>
      </w:r>
      <w:r>
        <w:rPr>
          <w:lang w:val="hy-AM"/>
        </w:rPr>
        <w:t xml:space="preserve">Աղյուսակ </w:t>
      </w:r>
      <w:r w:rsidR="00E31080">
        <w:rPr>
          <w:lang w:val="hy-AM"/>
        </w:rPr>
        <w:t>2</w:t>
      </w:r>
      <w:r w:rsidRPr="00186240">
        <w:rPr>
          <w:lang w:val="hy-AM"/>
        </w:rPr>
        <w:t>)</w:t>
      </w:r>
      <w:r>
        <w:rPr>
          <w:lang w:val="hy-AM"/>
        </w:rPr>
        <w:t>: Կարելի է ենթադրել, որ 2020-ին եկամուտների անհավասարության ճեղքվածքը շատ ավելի է խորացել` այս անգամ հաշվի առնելով ոչ միայն տարվա ընթացքում գրանցված սոցիալ-տնտեսական բացասական զարգացումները, այլև ՀՀ կառավարության հարկային քաղաքականության որոշ հետևանքներ: Մասնավորապես, 2020 թվականից եկամտահարկի միասնական դրույքաչափի անցմամբ պայմանավորված</w:t>
      </w:r>
      <w:r w:rsidR="0080140D">
        <w:rPr>
          <w:lang w:val="hy-AM"/>
        </w:rPr>
        <w:t>՝</w:t>
      </w:r>
      <w:r>
        <w:rPr>
          <w:lang w:val="hy-AM"/>
        </w:rPr>
        <w:t xml:space="preserve"> ավելացել է բարձր եկամուտ ստացողների տնօրինվող եկամուտը, իսկ ցածր և միջին եկամուտ ստացողների մոտ ոչինչ չի փոխվել: Ընդ որում, այս </w:t>
      </w:r>
      <w:r w:rsidR="0080140D">
        <w:rPr>
          <w:lang w:val="hy-AM"/>
        </w:rPr>
        <w:t xml:space="preserve">միտումը </w:t>
      </w:r>
      <w:r>
        <w:rPr>
          <w:lang w:val="hy-AM"/>
        </w:rPr>
        <w:t>պահպանվելու է նաև 2021-2023 թվականներին:</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64714CCB" w14:textId="77777777" w:rsidTr="00FC2CE7">
        <w:tc>
          <w:tcPr>
            <w:tcW w:w="9062" w:type="dxa"/>
            <w:shd w:val="clear" w:color="auto" w:fill="EDEDED" w:themeFill="accent3" w:themeFillTint="33"/>
          </w:tcPr>
          <w:p w14:paraId="7805380B" w14:textId="77777777" w:rsidR="008E3735" w:rsidRPr="00527F46" w:rsidRDefault="008E3735" w:rsidP="00FC2CE7">
            <w:pPr>
              <w:spacing w:before="60" w:after="60" w:line="276" w:lineRule="auto"/>
              <w:jc w:val="center"/>
              <w:rPr>
                <w:color w:val="00B0F0"/>
                <w:sz w:val="22"/>
                <w:lang w:val="hy-AM"/>
              </w:rPr>
            </w:pPr>
            <w:r w:rsidRPr="00527F46">
              <w:rPr>
                <w:color w:val="00B0F0"/>
                <w:sz w:val="22"/>
                <w:lang w:val="hy-AM"/>
              </w:rPr>
              <w:t>ՀՀ կառավարության 2021թ. ծրագիր</w:t>
            </w:r>
          </w:p>
          <w:p w14:paraId="7B43F6B4" w14:textId="20AB6B0B" w:rsidR="008E3735" w:rsidRPr="00186240" w:rsidRDefault="008E3735" w:rsidP="008E3735">
            <w:pPr>
              <w:pStyle w:val="ListParagraph"/>
              <w:numPr>
                <w:ilvl w:val="0"/>
                <w:numId w:val="14"/>
              </w:numPr>
              <w:spacing w:before="60" w:after="60" w:line="276" w:lineRule="auto"/>
              <w:ind w:left="318" w:hanging="284"/>
              <w:rPr>
                <w:sz w:val="20"/>
                <w:lang w:val="hy-AM"/>
              </w:rPr>
            </w:pPr>
            <w:r w:rsidRPr="00186240">
              <w:rPr>
                <w:sz w:val="20"/>
                <w:lang w:val="hy-AM"/>
              </w:rPr>
              <w:t>Կառավարության տնտեսական քաղաքականության նպատակներից է աղքատության կրճատումը</w:t>
            </w:r>
            <w:r w:rsidRPr="00186240">
              <w:rPr>
                <w:b/>
                <w:sz w:val="20"/>
                <w:lang w:val="hy-AM"/>
              </w:rPr>
              <w:t>: 2026 թվականին աղքատությունը կրկնակի կրճատելու … համար</w:t>
            </w:r>
            <w:r w:rsidRPr="00186240">
              <w:rPr>
                <w:sz w:val="20"/>
                <w:lang w:val="hy-AM"/>
              </w:rPr>
              <w:t xml:space="preserve"> Հայաստանի Հանրապետությանն անհրաժեշտ է տարեկան ՀՆԱ 7%-ից ավելի աճ: </w:t>
            </w:r>
          </w:p>
          <w:p w14:paraId="795C4934" w14:textId="77777777" w:rsidR="008E3735" w:rsidRPr="00186240" w:rsidRDefault="008E3735" w:rsidP="008E3735">
            <w:pPr>
              <w:pStyle w:val="ListParagraph"/>
              <w:numPr>
                <w:ilvl w:val="0"/>
                <w:numId w:val="14"/>
              </w:numPr>
              <w:spacing w:before="60" w:after="60" w:line="276" w:lineRule="auto"/>
              <w:ind w:left="318" w:hanging="284"/>
              <w:rPr>
                <w:sz w:val="20"/>
                <w:lang w:val="hy-AM"/>
              </w:rPr>
            </w:pPr>
            <w:r w:rsidRPr="00186240">
              <w:rPr>
                <w:sz w:val="20"/>
                <w:lang w:val="hy-AM"/>
              </w:rPr>
              <w:t xml:space="preserve">Կառավարությունը քայլեր է ձեռնարկելու </w:t>
            </w:r>
            <w:r w:rsidRPr="00186240">
              <w:rPr>
                <w:b/>
                <w:sz w:val="20"/>
                <w:lang w:val="hy-AM"/>
              </w:rPr>
              <w:t>մինչև 2026 թվականը վերացնել ծայրահեղ աղքատությունը</w:t>
            </w:r>
            <w:r w:rsidRPr="00186240">
              <w:rPr>
                <w:sz w:val="20"/>
                <w:lang w:val="hy-AM"/>
              </w:rPr>
              <w:t>:</w:t>
            </w:r>
          </w:p>
        </w:tc>
      </w:tr>
    </w:tbl>
    <w:p w14:paraId="699C0027" w14:textId="7D7739E1" w:rsidR="008E3735" w:rsidRDefault="008E3735" w:rsidP="008E3735">
      <w:pPr>
        <w:spacing w:before="240"/>
        <w:ind w:firstLine="602"/>
        <w:rPr>
          <w:lang w:val="hy-AM"/>
        </w:rPr>
      </w:pPr>
      <w:r w:rsidRPr="008C0586">
        <w:rPr>
          <w:lang w:val="hy-AM"/>
        </w:rPr>
        <w:t>ՀՀ կառավարության 2021թ. ծրագրից առաջին հերթին պետք է նկատենք, որ խոսքն ըստ էության 2026 թվականին աղքատության մակարդակը մոտ 13</w:t>
      </w:r>
      <w:r w:rsidRPr="00186240">
        <w:rPr>
          <w:lang w:val="hy-AM"/>
        </w:rPr>
        <w:t>%</w:t>
      </w:r>
      <w:r w:rsidRPr="008C0586">
        <w:rPr>
          <w:lang w:val="hy-AM"/>
        </w:rPr>
        <w:t>-ի հասցնելու մասին է</w:t>
      </w:r>
      <w:r>
        <w:rPr>
          <w:lang w:val="hy-AM"/>
        </w:rPr>
        <w:t xml:space="preserve"> </w:t>
      </w:r>
      <w:r w:rsidRPr="00186240">
        <w:rPr>
          <w:lang w:val="hy-AM"/>
        </w:rPr>
        <w:t>(</w:t>
      </w:r>
      <w:r>
        <w:rPr>
          <w:lang w:val="hy-AM"/>
        </w:rPr>
        <w:t>հաշվի առնելով, որ ամենաթարմ տվյալներով 2019-ին աղքատության մակարդակը կազմել է 26.4</w:t>
      </w:r>
      <w:r w:rsidRPr="00186240">
        <w:rPr>
          <w:lang w:val="hy-AM"/>
        </w:rPr>
        <w:t xml:space="preserve">%): </w:t>
      </w:r>
      <w:r w:rsidRPr="008C0586">
        <w:rPr>
          <w:b/>
          <w:lang w:val="hy-AM"/>
        </w:rPr>
        <w:t xml:space="preserve">Հետևաբար, ՀՀ կառավարությունը պարտավորվում է առաջիկա հինգ տարիների ընթացքում աղքատությունը նվազեցնել տարեկան </w:t>
      </w:r>
      <w:r w:rsidR="00440B0C">
        <w:rPr>
          <w:b/>
          <w:lang w:val="hy-AM"/>
        </w:rPr>
        <w:t>միջին հաշվով</w:t>
      </w:r>
      <w:r w:rsidRPr="008C0586">
        <w:rPr>
          <w:b/>
          <w:lang w:val="hy-AM"/>
        </w:rPr>
        <w:t xml:space="preserve"> 2.6 տոկոսային կետով:</w:t>
      </w:r>
      <w:r>
        <w:rPr>
          <w:lang w:val="hy-AM"/>
        </w:rPr>
        <w:t xml:space="preserve"> Վերջին տարիներին աղքատության հաղթահարման գործընթացում գրանցված բացասական դինամիկան և այս ուղղությամբ ՀՀ կառավարության ձախողած քաղաքականությունը </w:t>
      </w:r>
      <w:r w:rsidRPr="00186240">
        <w:rPr>
          <w:lang w:val="hy-AM"/>
        </w:rPr>
        <w:t>(</w:t>
      </w:r>
      <w:r>
        <w:rPr>
          <w:lang w:val="hy-AM"/>
        </w:rPr>
        <w:t>նույնիսկ մինչև 2020թ. ճգնաժամը</w:t>
      </w:r>
      <w:r w:rsidRPr="00186240">
        <w:rPr>
          <w:lang w:val="hy-AM"/>
        </w:rPr>
        <w:t xml:space="preserve">) </w:t>
      </w:r>
      <w:r>
        <w:rPr>
          <w:lang w:val="hy-AM"/>
        </w:rPr>
        <w:t xml:space="preserve">թույլ է տալիս ենթադրել, որ </w:t>
      </w:r>
      <w:r w:rsidRPr="008C0586">
        <w:rPr>
          <w:b/>
          <w:lang w:val="hy-AM"/>
        </w:rPr>
        <w:t>տարեկան նման կտրուկ տեմպերով աղքատության կրճատման թիրախավորումն իրատեսական չէ</w:t>
      </w:r>
      <w:r>
        <w:rPr>
          <w:lang w:val="hy-AM"/>
        </w:rPr>
        <w:t xml:space="preserve">: </w:t>
      </w:r>
    </w:p>
    <w:p w14:paraId="20BED467" w14:textId="77777777" w:rsidR="008E3735" w:rsidRDefault="008E3735" w:rsidP="008E3735">
      <w:pPr>
        <w:spacing w:before="240"/>
        <w:ind w:firstLine="602"/>
        <w:rPr>
          <w:lang w:val="hy-AM"/>
        </w:rPr>
      </w:pPr>
      <w:r>
        <w:rPr>
          <w:lang w:val="hy-AM"/>
        </w:rPr>
        <w:lastRenderedPageBreak/>
        <w:t>Երկրորդ հերթին, համաձայն ՀՀ կառավարության` այս խոստումն իրականացնելու համար անհրաժեշտ կլինի ապահովել 7</w:t>
      </w:r>
      <w:r w:rsidRPr="00186240">
        <w:rPr>
          <w:lang w:val="hy-AM"/>
        </w:rPr>
        <w:t>%-</w:t>
      </w:r>
      <w:r>
        <w:rPr>
          <w:lang w:val="hy-AM"/>
        </w:rPr>
        <w:t xml:space="preserve">ից ավելի տնտեսական աճ: Սակայն, ինչպես տեսանք վերլուծության առաջին գլխում` տնտեսական աճի այս թիրախն անիրատեսական է: </w:t>
      </w:r>
      <w:r w:rsidRPr="00F26620">
        <w:rPr>
          <w:b/>
          <w:lang w:val="hy-AM"/>
        </w:rPr>
        <w:t>Ստացվում է, որ կառավարությունը նպատակադրվում է կրկնակի կրաճատել աղքատության մակարդակը` դրա հիմքում դնելով անիրատեսական սցենար</w:t>
      </w:r>
      <w:r>
        <w:rPr>
          <w:lang w:val="hy-AM"/>
        </w:rPr>
        <w:t>, ինչի արդյունքում կարելի է ենթադրել, որ ոչ միայն չի ապահովվելու տնտեսական աճի թիրախը, այլև դրա հետևանքով` անհնար է լինելու կրկնակի կրճատել աղքատության մակարդակը:</w:t>
      </w:r>
    </w:p>
    <w:p w14:paraId="53E72D09" w14:textId="77777777" w:rsidR="008E3735" w:rsidRDefault="008E3735" w:rsidP="008E3735">
      <w:pPr>
        <w:spacing w:before="240"/>
        <w:ind w:firstLine="602"/>
        <w:rPr>
          <w:lang w:val="hy-AM"/>
        </w:rPr>
      </w:pPr>
      <w:r w:rsidRPr="00F26620">
        <w:rPr>
          <w:b/>
          <w:lang w:val="hy-AM"/>
        </w:rPr>
        <w:t xml:space="preserve">Ինչ վերաբերում է ծայրահեղ աղքատության վերացմանը, ապա ստացվում է, որ </w:t>
      </w:r>
      <w:r>
        <w:rPr>
          <w:b/>
          <w:lang w:val="hy-AM"/>
        </w:rPr>
        <w:t xml:space="preserve">ՀՀ </w:t>
      </w:r>
      <w:r w:rsidRPr="00F26620">
        <w:rPr>
          <w:b/>
          <w:lang w:val="hy-AM"/>
        </w:rPr>
        <w:t>կառավարությունը 3 տարով «հետաձգել է» այդ նպատակի իրականացումը</w:t>
      </w:r>
      <w:r>
        <w:rPr>
          <w:lang w:val="hy-AM"/>
        </w:rPr>
        <w:t>: 2019-ի ծրագրով նախատեսվում էր ծայրահեղ աղքատությունը վերացնել մինչև 2023 թվականը, իսկ այժմ` մինչև 2026 թվականը: Մյուս կողմից, 2019 թվականի տնտեսական աճի պայմաններում ծայրահեղ աղքատության մակարդակի խորացումը հիմքեր է ստեղծում ենթադրելու, որ նույնիսկ բարձր աճի պայմաններում ՀՀ կառավարությունը կարող է ձախողել թիրախի ապահովումը:</w:t>
      </w:r>
    </w:p>
    <w:p w14:paraId="66B7A642" w14:textId="77777777" w:rsidR="008E3735" w:rsidRPr="00D1020F" w:rsidRDefault="008E3735" w:rsidP="00A83257">
      <w:pPr>
        <w:pStyle w:val="Heading2"/>
      </w:pPr>
      <w:bookmarkStart w:id="12" w:name="_Toc88138984"/>
      <w:r w:rsidRPr="00D1020F">
        <w:t>3.2. Զբաղվածության ընդլայնումը և գործազրկության կրճատումը</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07562EEB" w14:textId="77777777" w:rsidTr="00FC2CE7">
        <w:tc>
          <w:tcPr>
            <w:tcW w:w="9062" w:type="dxa"/>
            <w:shd w:val="clear" w:color="auto" w:fill="EDEDED" w:themeFill="accent3" w:themeFillTint="33"/>
          </w:tcPr>
          <w:p w14:paraId="2E7212B6" w14:textId="77777777" w:rsidR="008E3735" w:rsidRPr="00897345" w:rsidRDefault="008E3735" w:rsidP="00FC2CE7">
            <w:pPr>
              <w:spacing w:before="60" w:after="60" w:line="276" w:lineRule="auto"/>
              <w:jc w:val="center"/>
              <w:rPr>
                <w:color w:val="00B0F0"/>
                <w:sz w:val="22"/>
                <w:lang w:val="hy-AM"/>
              </w:rPr>
            </w:pPr>
            <w:r w:rsidRPr="00897345">
              <w:rPr>
                <w:color w:val="00B0F0"/>
                <w:sz w:val="22"/>
                <w:lang w:val="hy-AM"/>
              </w:rPr>
              <w:t>ՀՀ կառավարության 2019թ. ծրագիր</w:t>
            </w:r>
          </w:p>
          <w:p w14:paraId="694496B3" w14:textId="77777777" w:rsidR="008E3735" w:rsidRPr="00186240" w:rsidRDefault="008E3735" w:rsidP="008E3735">
            <w:pPr>
              <w:pStyle w:val="ListParagraph"/>
              <w:numPr>
                <w:ilvl w:val="0"/>
                <w:numId w:val="15"/>
              </w:numPr>
              <w:spacing w:before="60" w:after="60" w:line="276" w:lineRule="auto"/>
              <w:ind w:left="318" w:hanging="284"/>
              <w:rPr>
                <w:sz w:val="20"/>
                <w:lang w:val="hy-AM"/>
              </w:rPr>
            </w:pPr>
            <w:r w:rsidRPr="00F74C4B">
              <w:rPr>
                <w:sz w:val="20"/>
                <w:lang w:val="hy-AM"/>
              </w:rPr>
              <w:t xml:space="preserve">Կառավարությունը հաստատակամ է </w:t>
            </w:r>
            <w:r w:rsidRPr="00F74C4B">
              <w:rPr>
                <w:b/>
                <w:sz w:val="20"/>
                <w:lang w:val="hy-AM"/>
              </w:rPr>
              <w:t>մինչև 2023 թվականն էապես կրճատելու գործազրկությունը</w:t>
            </w:r>
            <w:r w:rsidRPr="00F74C4B">
              <w:rPr>
                <w:sz w:val="20"/>
                <w:lang w:val="hy-AM"/>
              </w:rPr>
              <w:t xml:space="preserve">: Տնտեսական քաղաքականության նպատակը պետք է դառնա </w:t>
            </w:r>
            <w:r w:rsidRPr="00F74C4B">
              <w:rPr>
                <w:b/>
                <w:sz w:val="20"/>
                <w:lang w:val="hy-AM"/>
              </w:rPr>
              <w:t>աշխատատեղերի ստեղծումը</w:t>
            </w:r>
            <w:r w:rsidRPr="00F74C4B">
              <w:rPr>
                <w:sz w:val="20"/>
                <w:lang w:val="hy-AM"/>
              </w:rPr>
              <w:t xml:space="preserve">: </w:t>
            </w:r>
          </w:p>
        </w:tc>
      </w:tr>
    </w:tbl>
    <w:p w14:paraId="10529157" w14:textId="59BE6D0A" w:rsidR="008E3735" w:rsidRDefault="008E3735" w:rsidP="008E3735">
      <w:pPr>
        <w:spacing w:before="240" w:after="0"/>
        <w:ind w:firstLine="602"/>
        <w:rPr>
          <w:lang w:val="hy-AM"/>
        </w:rPr>
      </w:pPr>
      <w:r>
        <w:rPr>
          <w:lang w:val="hy-AM"/>
        </w:rPr>
        <w:t>Այսպես</w:t>
      </w:r>
      <w:r w:rsidR="0080140D">
        <w:rPr>
          <w:lang w:val="hy-AM"/>
        </w:rPr>
        <w:t>,</w:t>
      </w:r>
      <w:r>
        <w:rPr>
          <w:lang w:val="hy-AM"/>
        </w:rPr>
        <w:t xml:space="preserve"> պաշտոնական վիճակագրության ուսումնասիրության արդյունքում պարզ է դառնում, որ </w:t>
      </w:r>
      <w:r w:rsidRPr="005C5E01">
        <w:rPr>
          <w:b/>
          <w:lang w:val="hy-AM"/>
        </w:rPr>
        <w:t>զբաղվածության և գործազրկության ցուցանիշների մասով 2018-20</w:t>
      </w:r>
      <w:r w:rsidRPr="00186240">
        <w:rPr>
          <w:b/>
          <w:lang w:val="hy-AM"/>
        </w:rPr>
        <w:t>19</w:t>
      </w:r>
      <w:r w:rsidRPr="005C5E01">
        <w:rPr>
          <w:b/>
          <w:lang w:val="hy-AM"/>
        </w:rPr>
        <w:t xml:space="preserve"> թվականների ընթացքում էական առաջընթաց չի գրանցվել, իսկ </w:t>
      </w:r>
      <w:r w:rsidRPr="00186240">
        <w:rPr>
          <w:b/>
          <w:lang w:val="hy-AM"/>
        </w:rPr>
        <w:t xml:space="preserve">2020 </w:t>
      </w:r>
      <w:r w:rsidRPr="005C5E01">
        <w:rPr>
          <w:b/>
          <w:lang w:val="hy-AM"/>
        </w:rPr>
        <w:t>թվականին` վիճակը վատթարացել է</w:t>
      </w:r>
      <w:r>
        <w:rPr>
          <w:lang w:val="hy-AM"/>
        </w:rPr>
        <w:t xml:space="preserve"> </w:t>
      </w:r>
      <w:r w:rsidRPr="00186240">
        <w:rPr>
          <w:lang w:val="hy-AM"/>
        </w:rPr>
        <w:t xml:space="preserve">(Աղյուսակ </w:t>
      </w:r>
      <w:r>
        <w:rPr>
          <w:lang w:val="hy-AM"/>
        </w:rPr>
        <w:t>3</w:t>
      </w:r>
      <w:r w:rsidRPr="00186240">
        <w:rPr>
          <w:lang w:val="hy-AM"/>
        </w:rPr>
        <w:t>)</w:t>
      </w:r>
      <w:r>
        <w:rPr>
          <w:lang w:val="hy-AM"/>
        </w:rPr>
        <w:t>:</w:t>
      </w:r>
    </w:p>
    <w:p w14:paraId="4A9E7146" w14:textId="77777777" w:rsidR="008E3735" w:rsidRDefault="008E3735" w:rsidP="008E3735">
      <w:pPr>
        <w:spacing w:after="0"/>
        <w:ind w:firstLine="602"/>
        <w:rPr>
          <w:lang w:val="hy-AM"/>
        </w:rPr>
      </w:pPr>
    </w:p>
    <w:p w14:paraId="4A0F9329" w14:textId="77777777" w:rsidR="00D00797" w:rsidRDefault="00D00797" w:rsidP="008E3735">
      <w:pPr>
        <w:spacing w:after="0"/>
        <w:ind w:firstLine="602"/>
        <w:rPr>
          <w:lang w:val="hy-AM"/>
        </w:rPr>
      </w:pPr>
    </w:p>
    <w:p w14:paraId="397543EA" w14:textId="77777777" w:rsidR="00D00797" w:rsidRDefault="00D00797" w:rsidP="008E3735">
      <w:pPr>
        <w:spacing w:after="0"/>
        <w:ind w:firstLine="602"/>
        <w:rPr>
          <w:lang w:val="hy-AM"/>
        </w:rPr>
      </w:pPr>
    </w:p>
    <w:p w14:paraId="62BB2C91" w14:textId="77777777" w:rsidR="00D00797" w:rsidRDefault="00D00797" w:rsidP="008E3735">
      <w:pPr>
        <w:spacing w:after="0"/>
        <w:ind w:firstLine="602"/>
        <w:rPr>
          <w:lang w:val="hy-AM"/>
        </w:rPr>
      </w:pPr>
    </w:p>
    <w:p w14:paraId="41A9983C" w14:textId="77777777" w:rsidR="00D00797" w:rsidRDefault="00D00797" w:rsidP="008E3735">
      <w:pPr>
        <w:spacing w:after="0"/>
        <w:ind w:firstLine="602"/>
        <w:rPr>
          <w:lang w:val="hy-AM"/>
        </w:rPr>
      </w:pPr>
    </w:p>
    <w:p w14:paraId="2241FC4E" w14:textId="77777777" w:rsidR="00D00797" w:rsidRDefault="00D00797" w:rsidP="008E3735">
      <w:pPr>
        <w:spacing w:after="0"/>
        <w:ind w:firstLine="602"/>
        <w:rPr>
          <w:lang w:val="hy-AM"/>
        </w:rPr>
      </w:pPr>
    </w:p>
    <w:p w14:paraId="58791340" w14:textId="77777777" w:rsidR="00D00797" w:rsidRDefault="00D00797" w:rsidP="008E3735">
      <w:pPr>
        <w:spacing w:after="0"/>
        <w:ind w:firstLine="602"/>
        <w:rPr>
          <w:lang w:val="hy-AM"/>
        </w:rPr>
      </w:pPr>
    </w:p>
    <w:p w14:paraId="37E47310" w14:textId="77777777" w:rsidR="00D00797" w:rsidRDefault="00D00797" w:rsidP="008E3735">
      <w:pPr>
        <w:spacing w:after="0"/>
        <w:ind w:firstLine="602"/>
        <w:rPr>
          <w:lang w:val="hy-AM"/>
        </w:rPr>
      </w:pPr>
    </w:p>
    <w:p w14:paraId="521F0D78" w14:textId="77777777" w:rsidR="00D00797" w:rsidRDefault="00D00797" w:rsidP="008E3735">
      <w:pPr>
        <w:spacing w:after="0"/>
        <w:ind w:firstLine="602"/>
        <w:rPr>
          <w:lang w:val="hy-AM"/>
        </w:rPr>
      </w:pPr>
    </w:p>
    <w:p w14:paraId="3B6C6CE3" w14:textId="77777777" w:rsidR="008E3735" w:rsidRPr="00A94AB3" w:rsidRDefault="008E3735" w:rsidP="008E3735">
      <w:pPr>
        <w:spacing w:after="120"/>
        <w:ind w:firstLine="602"/>
        <w:jc w:val="center"/>
        <w:rPr>
          <w:b/>
          <w:lang w:val="hy-AM"/>
        </w:rPr>
      </w:pPr>
      <w:r w:rsidRPr="00A94AB3">
        <w:rPr>
          <w:b/>
          <w:lang w:val="hy-AM"/>
        </w:rPr>
        <w:lastRenderedPageBreak/>
        <w:t xml:space="preserve">Աղյուսակ </w:t>
      </w:r>
      <w:r>
        <w:rPr>
          <w:b/>
          <w:lang w:val="hy-AM"/>
        </w:rPr>
        <w:t>3.</w:t>
      </w:r>
      <w:r w:rsidRPr="00A94AB3">
        <w:rPr>
          <w:b/>
          <w:lang w:val="hy-AM"/>
        </w:rPr>
        <w:t xml:space="preserve"> </w:t>
      </w:r>
      <w:r>
        <w:rPr>
          <w:b/>
          <w:lang w:val="hy-AM"/>
        </w:rPr>
        <w:t>ՀՀ ա</w:t>
      </w:r>
      <w:r w:rsidRPr="00A94AB3">
        <w:rPr>
          <w:b/>
          <w:lang w:val="hy-AM"/>
        </w:rPr>
        <w:t>շխատանքի շուկայի հիմնական ցուցանիշները</w:t>
      </w:r>
      <w:r>
        <w:rPr>
          <w:rStyle w:val="FootnoteReference"/>
          <w:b/>
          <w:lang w:val="hy-AM"/>
        </w:rPr>
        <w:footnoteReference w:id="35"/>
      </w:r>
    </w:p>
    <w:tbl>
      <w:tblPr>
        <w:tblStyle w:val="TableGrid"/>
        <w:tblW w:w="8785" w:type="dxa"/>
        <w:jc w:val="center"/>
        <w:tblLayout w:type="fixed"/>
        <w:tblLook w:val="04A0" w:firstRow="1" w:lastRow="0" w:firstColumn="1" w:lastColumn="0" w:noHBand="0" w:noVBand="1"/>
      </w:tblPr>
      <w:tblGrid>
        <w:gridCol w:w="4535"/>
        <w:gridCol w:w="850"/>
        <w:gridCol w:w="850"/>
        <w:gridCol w:w="850"/>
        <w:gridCol w:w="850"/>
        <w:gridCol w:w="850"/>
      </w:tblGrid>
      <w:tr w:rsidR="008E3735" w:rsidRPr="008D0608" w14:paraId="1450603A" w14:textId="77777777" w:rsidTr="00FC2CE7">
        <w:trPr>
          <w:jc w:val="center"/>
        </w:trPr>
        <w:tc>
          <w:tcPr>
            <w:tcW w:w="4535" w:type="dxa"/>
            <w:shd w:val="clear" w:color="auto" w:fill="002060"/>
            <w:vAlign w:val="center"/>
          </w:tcPr>
          <w:p w14:paraId="499A0DDE" w14:textId="77777777" w:rsidR="008E3735" w:rsidRPr="00690E57" w:rsidRDefault="008E3735" w:rsidP="00FC2CE7">
            <w:pPr>
              <w:spacing w:before="60" w:after="60"/>
              <w:ind w:firstLine="0"/>
              <w:jc w:val="left"/>
              <w:rPr>
                <w:sz w:val="18"/>
                <w:szCs w:val="20"/>
                <w:lang w:val="hy-AM"/>
              </w:rPr>
            </w:pPr>
          </w:p>
        </w:tc>
        <w:tc>
          <w:tcPr>
            <w:tcW w:w="850" w:type="dxa"/>
            <w:shd w:val="clear" w:color="auto" w:fill="002060"/>
            <w:vAlign w:val="center"/>
          </w:tcPr>
          <w:p w14:paraId="3612C97A" w14:textId="77777777" w:rsidR="008E3735" w:rsidRPr="00A1796B" w:rsidRDefault="008E3735" w:rsidP="00FC2CE7">
            <w:pPr>
              <w:spacing w:before="60" w:after="60"/>
              <w:ind w:firstLine="0"/>
              <w:jc w:val="left"/>
              <w:rPr>
                <w:b/>
                <w:sz w:val="18"/>
                <w:szCs w:val="20"/>
              </w:rPr>
            </w:pPr>
            <w:r w:rsidRPr="00A1796B">
              <w:rPr>
                <w:b/>
                <w:sz w:val="18"/>
                <w:szCs w:val="20"/>
                <w:lang w:val="hy-AM"/>
              </w:rPr>
              <w:t>2017</w:t>
            </w:r>
          </w:p>
        </w:tc>
        <w:tc>
          <w:tcPr>
            <w:tcW w:w="850" w:type="dxa"/>
            <w:shd w:val="clear" w:color="auto" w:fill="002060"/>
            <w:vAlign w:val="center"/>
          </w:tcPr>
          <w:p w14:paraId="09C82045" w14:textId="77777777" w:rsidR="008E3735" w:rsidRPr="00A1796B" w:rsidRDefault="008E3735" w:rsidP="00FC2CE7">
            <w:pPr>
              <w:spacing w:before="60" w:after="60"/>
              <w:ind w:firstLine="0"/>
              <w:jc w:val="left"/>
              <w:rPr>
                <w:b/>
                <w:sz w:val="18"/>
                <w:szCs w:val="20"/>
                <w:lang w:val="hy-AM"/>
              </w:rPr>
            </w:pPr>
            <w:r w:rsidRPr="00A1796B">
              <w:rPr>
                <w:b/>
                <w:sz w:val="18"/>
                <w:szCs w:val="20"/>
                <w:lang w:val="hy-AM"/>
              </w:rPr>
              <w:t>2018</w:t>
            </w:r>
          </w:p>
        </w:tc>
        <w:tc>
          <w:tcPr>
            <w:tcW w:w="850" w:type="dxa"/>
            <w:shd w:val="clear" w:color="auto" w:fill="002060"/>
            <w:vAlign w:val="center"/>
          </w:tcPr>
          <w:p w14:paraId="5D8AAD76" w14:textId="77777777" w:rsidR="008E3735" w:rsidRPr="00A1796B" w:rsidRDefault="008E3735" w:rsidP="00FC2CE7">
            <w:pPr>
              <w:spacing w:before="60" w:after="60"/>
              <w:ind w:firstLine="0"/>
              <w:jc w:val="left"/>
              <w:rPr>
                <w:b/>
                <w:sz w:val="18"/>
                <w:szCs w:val="20"/>
                <w:lang w:val="hy-AM"/>
              </w:rPr>
            </w:pPr>
            <w:r w:rsidRPr="00A1796B">
              <w:rPr>
                <w:b/>
                <w:sz w:val="18"/>
                <w:szCs w:val="20"/>
                <w:lang w:val="hy-AM"/>
              </w:rPr>
              <w:t>2019</w:t>
            </w:r>
          </w:p>
        </w:tc>
        <w:tc>
          <w:tcPr>
            <w:tcW w:w="850" w:type="dxa"/>
            <w:shd w:val="clear" w:color="auto" w:fill="FFC000"/>
            <w:vAlign w:val="center"/>
          </w:tcPr>
          <w:p w14:paraId="2C2D8320" w14:textId="77777777" w:rsidR="008E3735" w:rsidRPr="00A1796B" w:rsidRDefault="008E3735" w:rsidP="00FC2CE7">
            <w:pPr>
              <w:spacing w:before="60" w:after="60"/>
              <w:ind w:firstLine="0"/>
              <w:jc w:val="right"/>
              <w:rPr>
                <w:b/>
                <w:sz w:val="18"/>
                <w:szCs w:val="20"/>
                <w:lang w:val="hy-AM"/>
              </w:rPr>
            </w:pPr>
            <w:r w:rsidRPr="00A1796B">
              <w:rPr>
                <w:b/>
                <w:sz w:val="18"/>
                <w:szCs w:val="20"/>
                <w:lang w:val="hy-AM"/>
              </w:rPr>
              <w:t>2019</w:t>
            </w:r>
          </w:p>
        </w:tc>
        <w:tc>
          <w:tcPr>
            <w:tcW w:w="850" w:type="dxa"/>
            <w:shd w:val="clear" w:color="auto" w:fill="FFC000"/>
            <w:vAlign w:val="center"/>
          </w:tcPr>
          <w:p w14:paraId="690C34BF" w14:textId="77777777" w:rsidR="008E3735" w:rsidRPr="00A1796B" w:rsidRDefault="008E3735" w:rsidP="00FC2CE7">
            <w:pPr>
              <w:spacing w:before="60" w:after="60"/>
              <w:ind w:firstLine="0"/>
              <w:jc w:val="right"/>
              <w:rPr>
                <w:b/>
                <w:sz w:val="18"/>
                <w:szCs w:val="20"/>
                <w:lang w:val="hy-AM"/>
              </w:rPr>
            </w:pPr>
            <w:r w:rsidRPr="00A1796B">
              <w:rPr>
                <w:b/>
                <w:sz w:val="18"/>
                <w:szCs w:val="20"/>
                <w:lang w:val="hy-AM"/>
              </w:rPr>
              <w:t>2020</w:t>
            </w:r>
          </w:p>
        </w:tc>
      </w:tr>
      <w:tr w:rsidR="00AA2FF8" w:rsidRPr="008D0608" w14:paraId="72BFBE16" w14:textId="77777777" w:rsidTr="002D0EC3">
        <w:trPr>
          <w:jc w:val="center"/>
        </w:trPr>
        <w:tc>
          <w:tcPr>
            <w:tcW w:w="4535" w:type="dxa"/>
            <w:vAlign w:val="center"/>
          </w:tcPr>
          <w:p w14:paraId="6A884691" w14:textId="77777777" w:rsidR="00AA2FF8" w:rsidRPr="00690E57" w:rsidRDefault="00AA2FF8" w:rsidP="00AA2FF8">
            <w:pPr>
              <w:spacing w:before="60" w:after="60"/>
              <w:ind w:firstLine="0"/>
              <w:jc w:val="left"/>
              <w:rPr>
                <w:sz w:val="18"/>
                <w:szCs w:val="20"/>
                <w:lang w:val="hy-AM"/>
              </w:rPr>
            </w:pPr>
            <w:r w:rsidRPr="00690E57">
              <w:rPr>
                <w:sz w:val="18"/>
                <w:szCs w:val="20"/>
                <w:lang w:val="hy-AM"/>
              </w:rPr>
              <w:t>Աշխատանքային ռեսուրսներ, հազ. մարդ</w:t>
            </w:r>
          </w:p>
        </w:tc>
        <w:tc>
          <w:tcPr>
            <w:tcW w:w="850" w:type="dxa"/>
            <w:vAlign w:val="center"/>
          </w:tcPr>
          <w:p w14:paraId="09081D0B" w14:textId="77777777" w:rsidR="00AA2FF8" w:rsidRPr="00A1796B" w:rsidRDefault="00AA2FF8" w:rsidP="00AA2FF8">
            <w:pPr>
              <w:spacing w:before="60" w:after="60"/>
              <w:ind w:firstLine="0"/>
              <w:jc w:val="left"/>
              <w:rPr>
                <w:sz w:val="18"/>
                <w:szCs w:val="20"/>
                <w:lang w:val="hy-AM"/>
              </w:rPr>
            </w:pPr>
            <w:r w:rsidRPr="00A1796B">
              <w:rPr>
                <w:sz w:val="18"/>
                <w:szCs w:val="20"/>
                <w:lang w:val="hy-AM"/>
              </w:rPr>
              <w:t>2,021.3</w:t>
            </w:r>
          </w:p>
        </w:tc>
        <w:tc>
          <w:tcPr>
            <w:tcW w:w="850" w:type="dxa"/>
            <w:vAlign w:val="center"/>
          </w:tcPr>
          <w:p w14:paraId="174EE5D9"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2,007.3</w:t>
            </w:r>
          </w:p>
        </w:tc>
        <w:tc>
          <w:tcPr>
            <w:tcW w:w="850" w:type="dxa"/>
            <w:vAlign w:val="center"/>
          </w:tcPr>
          <w:p w14:paraId="48D467CF"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2,022.0</w:t>
            </w:r>
          </w:p>
        </w:tc>
        <w:tc>
          <w:tcPr>
            <w:tcW w:w="850" w:type="dxa"/>
            <w:shd w:val="clear" w:color="auto" w:fill="FFC000"/>
          </w:tcPr>
          <w:p w14:paraId="179F4FF6" w14:textId="268B869D" w:rsidR="00AA2FF8" w:rsidRPr="00E27B78" w:rsidRDefault="00AA2FF8" w:rsidP="00AA2FF8">
            <w:pPr>
              <w:spacing w:before="60" w:after="60"/>
              <w:ind w:firstLine="0"/>
              <w:jc w:val="right"/>
              <w:rPr>
                <w:rFonts w:cs="Calibri"/>
                <w:color w:val="000000"/>
                <w:sz w:val="18"/>
                <w:szCs w:val="20"/>
              </w:rPr>
            </w:pPr>
            <w:r w:rsidRPr="002D0EC3">
              <w:rPr>
                <w:sz w:val="18"/>
                <w:szCs w:val="20"/>
              </w:rPr>
              <w:t>2,201.1</w:t>
            </w:r>
          </w:p>
        </w:tc>
        <w:tc>
          <w:tcPr>
            <w:tcW w:w="850" w:type="dxa"/>
            <w:shd w:val="clear" w:color="auto" w:fill="FFC000"/>
          </w:tcPr>
          <w:p w14:paraId="55CB4916" w14:textId="51B80941" w:rsidR="00AA2FF8" w:rsidRPr="00E27B78" w:rsidRDefault="00AA2FF8" w:rsidP="00AA2FF8">
            <w:pPr>
              <w:spacing w:before="60" w:after="60"/>
              <w:ind w:firstLine="0"/>
              <w:jc w:val="right"/>
              <w:rPr>
                <w:rFonts w:cs="Calibri"/>
                <w:color w:val="000000"/>
                <w:sz w:val="18"/>
                <w:szCs w:val="20"/>
              </w:rPr>
            </w:pPr>
            <w:r w:rsidRPr="002D0EC3">
              <w:rPr>
                <w:sz w:val="18"/>
                <w:szCs w:val="20"/>
              </w:rPr>
              <w:t>2,200.0</w:t>
            </w:r>
          </w:p>
        </w:tc>
      </w:tr>
      <w:tr w:rsidR="00AA2FF8" w:rsidRPr="008D0608" w14:paraId="1403C807" w14:textId="77777777" w:rsidTr="002D0EC3">
        <w:trPr>
          <w:jc w:val="center"/>
        </w:trPr>
        <w:tc>
          <w:tcPr>
            <w:tcW w:w="4535" w:type="dxa"/>
            <w:vAlign w:val="center"/>
          </w:tcPr>
          <w:p w14:paraId="40EC3DD0" w14:textId="77777777" w:rsidR="00AA2FF8" w:rsidRPr="00690E57" w:rsidRDefault="00AA2FF8" w:rsidP="00AA2FF8">
            <w:pPr>
              <w:spacing w:before="60" w:after="60"/>
              <w:ind w:left="171" w:firstLine="0"/>
              <w:jc w:val="left"/>
              <w:rPr>
                <w:sz w:val="18"/>
                <w:szCs w:val="20"/>
                <w:lang w:val="hy-AM"/>
              </w:rPr>
            </w:pPr>
            <w:r w:rsidRPr="00690E57">
              <w:rPr>
                <w:sz w:val="18"/>
                <w:szCs w:val="20"/>
                <w:lang w:val="hy-AM"/>
              </w:rPr>
              <w:t>Աշխատուժից դուրս բնակչություն, հազ. մարդ</w:t>
            </w:r>
          </w:p>
        </w:tc>
        <w:tc>
          <w:tcPr>
            <w:tcW w:w="850" w:type="dxa"/>
            <w:vAlign w:val="center"/>
          </w:tcPr>
          <w:p w14:paraId="420C3D16" w14:textId="77777777" w:rsidR="00AA2FF8" w:rsidRPr="00A1796B" w:rsidRDefault="00AA2FF8" w:rsidP="00AA2FF8">
            <w:pPr>
              <w:spacing w:before="60" w:after="60"/>
              <w:ind w:firstLine="0"/>
              <w:jc w:val="left"/>
              <w:rPr>
                <w:sz w:val="18"/>
                <w:szCs w:val="20"/>
                <w:lang w:val="hy-AM"/>
              </w:rPr>
            </w:pPr>
            <w:r w:rsidRPr="00A1796B">
              <w:rPr>
                <w:sz w:val="18"/>
                <w:szCs w:val="20"/>
                <w:lang w:val="hy-AM"/>
              </w:rPr>
              <w:t>881.5</w:t>
            </w:r>
          </w:p>
        </w:tc>
        <w:tc>
          <w:tcPr>
            <w:tcW w:w="850" w:type="dxa"/>
            <w:vAlign w:val="center"/>
          </w:tcPr>
          <w:p w14:paraId="6A905DBD"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865.8</w:t>
            </w:r>
          </w:p>
        </w:tc>
        <w:tc>
          <w:tcPr>
            <w:tcW w:w="850" w:type="dxa"/>
            <w:vAlign w:val="center"/>
          </w:tcPr>
          <w:p w14:paraId="3F691951"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854.7</w:t>
            </w:r>
          </w:p>
        </w:tc>
        <w:tc>
          <w:tcPr>
            <w:tcW w:w="850" w:type="dxa"/>
            <w:shd w:val="clear" w:color="auto" w:fill="FFC000"/>
          </w:tcPr>
          <w:p w14:paraId="3DFD035B" w14:textId="1C47E2C0" w:rsidR="00AA2FF8" w:rsidRPr="009D4A3C" w:rsidRDefault="00AA2FF8" w:rsidP="00AA2FF8">
            <w:pPr>
              <w:spacing w:before="60" w:after="60"/>
              <w:ind w:firstLine="0"/>
              <w:jc w:val="right"/>
              <w:rPr>
                <w:rFonts w:cs="Calibri"/>
                <w:color w:val="000000"/>
                <w:sz w:val="18"/>
                <w:szCs w:val="20"/>
              </w:rPr>
            </w:pPr>
            <w:r w:rsidRPr="002D0EC3">
              <w:rPr>
                <w:sz w:val="18"/>
                <w:szCs w:val="20"/>
              </w:rPr>
              <w:t>883.0</w:t>
            </w:r>
          </w:p>
        </w:tc>
        <w:tc>
          <w:tcPr>
            <w:tcW w:w="850" w:type="dxa"/>
            <w:shd w:val="clear" w:color="auto" w:fill="FFC000"/>
          </w:tcPr>
          <w:p w14:paraId="2E76861D" w14:textId="0CD294F4" w:rsidR="00AA2FF8" w:rsidRPr="009D4A3C" w:rsidRDefault="00AA2FF8" w:rsidP="00AA2FF8">
            <w:pPr>
              <w:spacing w:before="60" w:after="60"/>
              <w:ind w:firstLine="0"/>
              <w:jc w:val="right"/>
              <w:rPr>
                <w:rFonts w:cs="Calibri"/>
                <w:color w:val="000000"/>
                <w:sz w:val="18"/>
                <w:szCs w:val="20"/>
              </w:rPr>
            </w:pPr>
            <w:r w:rsidRPr="002D0EC3">
              <w:rPr>
                <w:sz w:val="18"/>
                <w:szCs w:val="20"/>
              </w:rPr>
              <w:t>913.3</w:t>
            </w:r>
          </w:p>
        </w:tc>
      </w:tr>
      <w:tr w:rsidR="00AA2FF8" w:rsidRPr="008D0608" w14:paraId="7750797B" w14:textId="77777777" w:rsidTr="002D0EC3">
        <w:trPr>
          <w:jc w:val="center"/>
        </w:trPr>
        <w:tc>
          <w:tcPr>
            <w:tcW w:w="4535" w:type="dxa"/>
            <w:vAlign w:val="center"/>
          </w:tcPr>
          <w:p w14:paraId="701D5E93" w14:textId="796A080C" w:rsidR="00AA2FF8" w:rsidRPr="00690E57" w:rsidRDefault="00AA2FF8" w:rsidP="00AA2FF8">
            <w:pPr>
              <w:spacing w:before="60" w:after="60"/>
              <w:ind w:left="171" w:firstLine="0"/>
              <w:jc w:val="left"/>
              <w:rPr>
                <w:sz w:val="18"/>
                <w:szCs w:val="20"/>
                <w:lang w:val="hy-AM"/>
              </w:rPr>
            </w:pPr>
            <w:r w:rsidRPr="00690E57">
              <w:rPr>
                <w:sz w:val="18"/>
                <w:szCs w:val="20"/>
                <w:lang w:val="hy-AM"/>
              </w:rPr>
              <w:t>Աշխատուժ (աշխատուժի առաջարկ), հազ. մարդ</w:t>
            </w:r>
          </w:p>
        </w:tc>
        <w:tc>
          <w:tcPr>
            <w:tcW w:w="850" w:type="dxa"/>
            <w:vAlign w:val="center"/>
          </w:tcPr>
          <w:p w14:paraId="31C229C9" w14:textId="77777777" w:rsidR="00AA2FF8" w:rsidRPr="00A1796B" w:rsidRDefault="00AA2FF8" w:rsidP="00AA2FF8">
            <w:pPr>
              <w:spacing w:before="60" w:after="60"/>
              <w:ind w:firstLine="0"/>
              <w:jc w:val="left"/>
              <w:rPr>
                <w:sz w:val="18"/>
                <w:szCs w:val="20"/>
                <w:lang w:val="hy-AM"/>
              </w:rPr>
            </w:pPr>
            <w:r w:rsidRPr="00A1796B">
              <w:rPr>
                <w:sz w:val="18"/>
                <w:szCs w:val="20"/>
                <w:lang w:val="hy-AM"/>
              </w:rPr>
              <w:t>1,139.9</w:t>
            </w:r>
          </w:p>
        </w:tc>
        <w:tc>
          <w:tcPr>
            <w:tcW w:w="850" w:type="dxa"/>
            <w:vAlign w:val="center"/>
          </w:tcPr>
          <w:p w14:paraId="00C9CB95"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1,141.6</w:t>
            </w:r>
          </w:p>
        </w:tc>
        <w:tc>
          <w:tcPr>
            <w:tcW w:w="850" w:type="dxa"/>
            <w:vAlign w:val="center"/>
          </w:tcPr>
          <w:p w14:paraId="5893B226"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1,167.2</w:t>
            </w:r>
          </w:p>
        </w:tc>
        <w:tc>
          <w:tcPr>
            <w:tcW w:w="850" w:type="dxa"/>
            <w:shd w:val="clear" w:color="auto" w:fill="FFC000"/>
          </w:tcPr>
          <w:p w14:paraId="35263D4A" w14:textId="05A906C6" w:rsidR="00AA2FF8" w:rsidRPr="009D4A3C" w:rsidRDefault="00AA2FF8" w:rsidP="00AA2FF8">
            <w:pPr>
              <w:spacing w:before="60" w:after="60"/>
              <w:ind w:firstLine="0"/>
              <w:jc w:val="right"/>
              <w:rPr>
                <w:rFonts w:cs="Calibri"/>
                <w:color w:val="000000"/>
                <w:sz w:val="18"/>
                <w:szCs w:val="20"/>
              </w:rPr>
            </w:pPr>
            <w:r w:rsidRPr="002D0EC3">
              <w:rPr>
                <w:sz w:val="18"/>
                <w:szCs w:val="20"/>
              </w:rPr>
              <w:t>1,318.1</w:t>
            </w:r>
          </w:p>
        </w:tc>
        <w:tc>
          <w:tcPr>
            <w:tcW w:w="850" w:type="dxa"/>
            <w:shd w:val="clear" w:color="auto" w:fill="FFC000"/>
          </w:tcPr>
          <w:p w14:paraId="170A0AE4" w14:textId="40757AE6" w:rsidR="00AA2FF8" w:rsidRPr="00E27B78" w:rsidRDefault="00AA2FF8" w:rsidP="00AA2FF8">
            <w:pPr>
              <w:spacing w:before="60" w:after="60"/>
              <w:ind w:firstLine="0"/>
              <w:jc w:val="right"/>
              <w:rPr>
                <w:rFonts w:cs="Calibri"/>
                <w:color w:val="000000"/>
                <w:sz w:val="18"/>
                <w:szCs w:val="20"/>
              </w:rPr>
            </w:pPr>
            <w:r w:rsidRPr="002D0EC3">
              <w:rPr>
                <w:sz w:val="18"/>
                <w:szCs w:val="20"/>
              </w:rPr>
              <w:t>1,286.7</w:t>
            </w:r>
          </w:p>
        </w:tc>
      </w:tr>
      <w:tr w:rsidR="00AA2FF8" w:rsidRPr="008D0608" w14:paraId="408F3C94" w14:textId="77777777" w:rsidTr="002D0EC3">
        <w:trPr>
          <w:jc w:val="center"/>
        </w:trPr>
        <w:tc>
          <w:tcPr>
            <w:tcW w:w="4535" w:type="dxa"/>
            <w:vAlign w:val="center"/>
          </w:tcPr>
          <w:p w14:paraId="65516DC6" w14:textId="77777777" w:rsidR="00AA2FF8" w:rsidRPr="00690E57" w:rsidRDefault="00AA2FF8" w:rsidP="00AA2FF8">
            <w:pPr>
              <w:spacing w:before="60" w:after="60"/>
              <w:ind w:left="454" w:firstLine="0"/>
              <w:jc w:val="left"/>
              <w:rPr>
                <w:sz w:val="18"/>
                <w:szCs w:val="20"/>
                <w:lang w:val="hy-AM"/>
              </w:rPr>
            </w:pPr>
            <w:r w:rsidRPr="00690E57">
              <w:rPr>
                <w:sz w:val="18"/>
                <w:szCs w:val="20"/>
                <w:lang w:val="hy-AM"/>
              </w:rPr>
              <w:t>Զբաղվածներ, հազ. մարդ</w:t>
            </w:r>
          </w:p>
        </w:tc>
        <w:tc>
          <w:tcPr>
            <w:tcW w:w="850" w:type="dxa"/>
            <w:vAlign w:val="center"/>
          </w:tcPr>
          <w:p w14:paraId="7FED3C23" w14:textId="77777777" w:rsidR="00AA2FF8" w:rsidRPr="00A1796B" w:rsidRDefault="00AA2FF8" w:rsidP="00AA2FF8">
            <w:pPr>
              <w:spacing w:before="60" w:after="60"/>
              <w:ind w:firstLine="0"/>
              <w:jc w:val="left"/>
              <w:rPr>
                <w:sz w:val="18"/>
                <w:szCs w:val="20"/>
                <w:lang w:val="hy-AM"/>
              </w:rPr>
            </w:pPr>
            <w:r w:rsidRPr="00A1796B">
              <w:rPr>
                <w:sz w:val="18"/>
                <w:szCs w:val="20"/>
                <w:lang w:val="hy-AM"/>
              </w:rPr>
              <w:t>903.3</w:t>
            </w:r>
          </w:p>
        </w:tc>
        <w:tc>
          <w:tcPr>
            <w:tcW w:w="850" w:type="dxa"/>
            <w:vAlign w:val="center"/>
          </w:tcPr>
          <w:p w14:paraId="4B290A8B"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907.5</w:t>
            </w:r>
          </w:p>
        </w:tc>
        <w:tc>
          <w:tcPr>
            <w:tcW w:w="850" w:type="dxa"/>
            <w:vAlign w:val="center"/>
          </w:tcPr>
          <w:p w14:paraId="00864BD8"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946.8</w:t>
            </w:r>
          </w:p>
        </w:tc>
        <w:tc>
          <w:tcPr>
            <w:tcW w:w="850" w:type="dxa"/>
            <w:shd w:val="clear" w:color="auto" w:fill="FFC000"/>
          </w:tcPr>
          <w:p w14:paraId="3B184CAD" w14:textId="75F8A065" w:rsidR="00AA2FF8" w:rsidRPr="00E27B78" w:rsidRDefault="00AA2FF8" w:rsidP="00AA2FF8">
            <w:pPr>
              <w:spacing w:before="60" w:after="60"/>
              <w:ind w:firstLine="0"/>
              <w:jc w:val="right"/>
              <w:rPr>
                <w:rFonts w:cs="Calibri"/>
                <w:color w:val="000000"/>
                <w:sz w:val="18"/>
                <w:szCs w:val="20"/>
              </w:rPr>
            </w:pPr>
            <w:r w:rsidRPr="002D0EC3">
              <w:rPr>
                <w:sz w:val="18"/>
                <w:szCs w:val="20"/>
              </w:rPr>
              <w:t>1,077.4</w:t>
            </w:r>
          </w:p>
        </w:tc>
        <w:tc>
          <w:tcPr>
            <w:tcW w:w="850" w:type="dxa"/>
            <w:shd w:val="clear" w:color="auto" w:fill="FFC000"/>
          </w:tcPr>
          <w:p w14:paraId="2E424CF6" w14:textId="5E2E3089" w:rsidR="00AA2FF8" w:rsidRPr="00E27B78" w:rsidRDefault="00AA2FF8" w:rsidP="00AA2FF8">
            <w:pPr>
              <w:spacing w:before="60" w:after="60"/>
              <w:ind w:firstLine="0"/>
              <w:jc w:val="right"/>
              <w:rPr>
                <w:rFonts w:cs="Calibri"/>
                <w:color w:val="000000"/>
                <w:sz w:val="18"/>
                <w:szCs w:val="20"/>
              </w:rPr>
            </w:pPr>
            <w:r w:rsidRPr="002D0EC3">
              <w:rPr>
                <w:sz w:val="18"/>
                <w:szCs w:val="20"/>
              </w:rPr>
              <w:t>1,052.4</w:t>
            </w:r>
          </w:p>
        </w:tc>
      </w:tr>
      <w:tr w:rsidR="00AA2FF8" w:rsidRPr="008D0608" w14:paraId="6B615D0D" w14:textId="77777777" w:rsidTr="002D0EC3">
        <w:trPr>
          <w:jc w:val="center"/>
        </w:trPr>
        <w:tc>
          <w:tcPr>
            <w:tcW w:w="4535" w:type="dxa"/>
            <w:vAlign w:val="center"/>
          </w:tcPr>
          <w:p w14:paraId="5213D0FB" w14:textId="77777777" w:rsidR="00AA2FF8" w:rsidRPr="00690E57" w:rsidRDefault="00AA2FF8" w:rsidP="00AA2FF8">
            <w:pPr>
              <w:spacing w:before="60" w:after="60"/>
              <w:ind w:left="454" w:firstLine="0"/>
              <w:jc w:val="left"/>
              <w:rPr>
                <w:sz w:val="18"/>
                <w:szCs w:val="20"/>
                <w:lang w:val="hy-AM"/>
              </w:rPr>
            </w:pPr>
            <w:r w:rsidRPr="00690E57">
              <w:rPr>
                <w:sz w:val="18"/>
                <w:szCs w:val="20"/>
                <w:lang w:val="hy-AM"/>
              </w:rPr>
              <w:t>Գործազուրկներ, հազ. մարդ</w:t>
            </w:r>
          </w:p>
        </w:tc>
        <w:tc>
          <w:tcPr>
            <w:tcW w:w="850" w:type="dxa"/>
            <w:vAlign w:val="center"/>
          </w:tcPr>
          <w:p w14:paraId="5D451781" w14:textId="77777777" w:rsidR="00AA2FF8" w:rsidRPr="00A1796B" w:rsidRDefault="00AA2FF8" w:rsidP="00AA2FF8">
            <w:pPr>
              <w:spacing w:before="60" w:after="60"/>
              <w:ind w:firstLine="0"/>
              <w:jc w:val="left"/>
              <w:rPr>
                <w:sz w:val="18"/>
                <w:szCs w:val="20"/>
                <w:lang w:val="hy-AM"/>
              </w:rPr>
            </w:pPr>
            <w:r w:rsidRPr="00A1796B">
              <w:rPr>
                <w:sz w:val="18"/>
                <w:szCs w:val="20"/>
                <w:lang w:val="hy-AM"/>
              </w:rPr>
              <w:t>236.5</w:t>
            </w:r>
          </w:p>
        </w:tc>
        <w:tc>
          <w:tcPr>
            <w:tcW w:w="850" w:type="dxa"/>
            <w:vAlign w:val="center"/>
          </w:tcPr>
          <w:p w14:paraId="3EA3A666"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234.0</w:t>
            </w:r>
          </w:p>
        </w:tc>
        <w:tc>
          <w:tcPr>
            <w:tcW w:w="850" w:type="dxa"/>
            <w:vAlign w:val="center"/>
          </w:tcPr>
          <w:p w14:paraId="27337E88"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220.5</w:t>
            </w:r>
          </w:p>
        </w:tc>
        <w:tc>
          <w:tcPr>
            <w:tcW w:w="850" w:type="dxa"/>
            <w:shd w:val="clear" w:color="auto" w:fill="FFC000"/>
          </w:tcPr>
          <w:p w14:paraId="7D89FB53" w14:textId="2D08DCB3" w:rsidR="00AA2FF8" w:rsidRPr="009D4A3C" w:rsidRDefault="00AA2FF8" w:rsidP="00AA2FF8">
            <w:pPr>
              <w:spacing w:before="60" w:after="60"/>
              <w:ind w:firstLine="0"/>
              <w:jc w:val="right"/>
              <w:rPr>
                <w:rFonts w:cs="Calibri"/>
                <w:color w:val="000000"/>
                <w:sz w:val="18"/>
                <w:szCs w:val="20"/>
              </w:rPr>
            </w:pPr>
            <w:r w:rsidRPr="002D0EC3">
              <w:rPr>
                <w:sz w:val="18"/>
                <w:szCs w:val="20"/>
              </w:rPr>
              <w:t>240.8</w:t>
            </w:r>
          </w:p>
        </w:tc>
        <w:tc>
          <w:tcPr>
            <w:tcW w:w="850" w:type="dxa"/>
            <w:shd w:val="clear" w:color="auto" w:fill="FFC000"/>
          </w:tcPr>
          <w:p w14:paraId="317B89C7" w14:textId="48078C34" w:rsidR="00AA2FF8" w:rsidRPr="009D4A3C" w:rsidRDefault="00AA2FF8" w:rsidP="00AA2FF8">
            <w:pPr>
              <w:spacing w:before="60" w:after="60"/>
              <w:ind w:firstLine="0"/>
              <w:jc w:val="right"/>
              <w:rPr>
                <w:rFonts w:cs="Calibri"/>
                <w:color w:val="000000"/>
                <w:sz w:val="18"/>
                <w:szCs w:val="20"/>
              </w:rPr>
            </w:pPr>
            <w:r w:rsidRPr="002D0EC3">
              <w:rPr>
                <w:sz w:val="18"/>
                <w:szCs w:val="20"/>
              </w:rPr>
              <w:t>234.4</w:t>
            </w:r>
          </w:p>
        </w:tc>
      </w:tr>
      <w:tr w:rsidR="00AA2FF8" w:rsidRPr="008D0608" w14:paraId="2881DB82" w14:textId="77777777" w:rsidTr="002D0EC3">
        <w:trPr>
          <w:jc w:val="center"/>
        </w:trPr>
        <w:tc>
          <w:tcPr>
            <w:tcW w:w="4535" w:type="dxa"/>
            <w:vAlign w:val="center"/>
          </w:tcPr>
          <w:p w14:paraId="113B99B0" w14:textId="77777777" w:rsidR="00AA2FF8" w:rsidRPr="00690E57" w:rsidRDefault="00AA2FF8" w:rsidP="00AA2FF8">
            <w:pPr>
              <w:spacing w:before="60" w:after="60"/>
              <w:ind w:left="29" w:firstLine="0"/>
              <w:jc w:val="left"/>
              <w:rPr>
                <w:sz w:val="18"/>
                <w:szCs w:val="20"/>
              </w:rPr>
            </w:pPr>
            <w:r w:rsidRPr="00690E57">
              <w:rPr>
                <w:sz w:val="18"/>
                <w:szCs w:val="20"/>
                <w:lang w:val="hy-AM"/>
              </w:rPr>
              <w:t xml:space="preserve">Աշխատուժի մասնակցության մակարդակ, </w:t>
            </w:r>
            <w:r w:rsidRPr="00690E57">
              <w:rPr>
                <w:sz w:val="18"/>
                <w:szCs w:val="20"/>
              </w:rPr>
              <w:t>%</w:t>
            </w:r>
          </w:p>
        </w:tc>
        <w:tc>
          <w:tcPr>
            <w:tcW w:w="850" w:type="dxa"/>
            <w:vAlign w:val="center"/>
          </w:tcPr>
          <w:p w14:paraId="3683A006" w14:textId="77777777" w:rsidR="00AA2FF8" w:rsidRPr="00A1796B" w:rsidRDefault="00AA2FF8" w:rsidP="00AA2FF8">
            <w:pPr>
              <w:spacing w:before="60" w:after="60"/>
              <w:ind w:firstLine="0"/>
              <w:jc w:val="left"/>
              <w:rPr>
                <w:sz w:val="18"/>
              </w:rPr>
            </w:pPr>
            <w:r w:rsidRPr="00A1796B">
              <w:rPr>
                <w:sz w:val="18"/>
              </w:rPr>
              <w:t>56.4</w:t>
            </w:r>
          </w:p>
        </w:tc>
        <w:tc>
          <w:tcPr>
            <w:tcW w:w="850" w:type="dxa"/>
            <w:vAlign w:val="center"/>
          </w:tcPr>
          <w:p w14:paraId="729ECAA9"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56.9</w:t>
            </w:r>
          </w:p>
        </w:tc>
        <w:tc>
          <w:tcPr>
            <w:tcW w:w="850" w:type="dxa"/>
            <w:vAlign w:val="center"/>
          </w:tcPr>
          <w:p w14:paraId="50D1B658"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57.7</w:t>
            </w:r>
          </w:p>
        </w:tc>
        <w:tc>
          <w:tcPr>
            <w:tcW w:w="850" w:type="dxa"/>
            <w:shd w:val="clear" w:color="auto" w:fill="FFC000"/>
          </w:tcPr>
          <w:p w14:paraId="184D3F0A" w14:textId="649A842D" w:rsidR="00AA2FF8" w:rsidRPr="00E27B78" w:rsidRDefault="00AA2FF8" w:rsidP="00AA2FF8">
            <w:pPr>
              <w:spacing w:before="60" w:after="60"/>
              <w:ind w:firstLine="0"/>
              <w:jc w:val="right"/>
              <w:rPr>
                <w:rFonts w:cs="Calibri"/>
                <w:color w:val="000000"/>
                <w:sz w:val="18"/>
                <w:szCs w:val="20"/>
              </w:rPr>
            </w:pPr>
            <w:r w:rsidRPr="002D0EC3">
              <w:rPr>
                <w:sz w:val="18"/>
                <w:szCs w:val="20"/>
              </w:rPr>
              <w:t>59.9</w:t>
            </w:r>
          </w:p>
        </w:tc>
        <w:tc>
          <w:tcPr>
            <w:tcW w:w="850" w:type="dxa"/>
            <w:shd w:val="clear" w:color="auto" w:fill="FFC000"/>
          </w:tcPr>
          <w:p w14:paraId="667819C7" w14:textId="16CD91A9" w:rsidR="00AA2FF8" w:rsidRPr="00E27B78" w:rsidRDefault="00AA2FF8" w:rsidP="00AA2FF8">
            <w:pPr>
              <w:spacing w:before="60" w:after="60"/>
              <w:ind w:firstLine="0"/>
              <w:jc w:val="right"/>
              <w:rPr>
                <w:rFonts w:cs="Calibri"/>
                <w:color w:val="000000"/>
                <w:sz w:val="18"/>
                <w:szCs w:val="20"/>
              </w:rPr>
            </w:pPr>
            <w:r w:rsidRPr="002D0EC3">
              <w:rPr>
                <w:sz w:val="18"/>
                <w:szCs w:val="20"/>
              </w:rPr>
              <w:t>58.5</w:t>
            </w:r>
          </w:p>
        </w:tc>
      </w:tr>
      <w:tr w:rsidR="00AA2FF8" w:rsidRPr="008D0608" w14:paraId="6FBC4820" w14:textId="77777777" w:rsidTr="002D0EC3">
        <w:trPr>
          <w:jc w:val="center"/>
        </w:trPr>
        <w:tc>
          <w:tcPr>
            <w:tcW w:w="4535" w:type="dxa"/>
            <w:vAlign w:val="center"/>
          </w:tcPr>
          <w:p w14:paraId="18CED981" w14:textId="77777777" w:rsidR="00AA2FF8" w:rsidRPr="00690E57" w:rsidRDefault="00AA2FF8" w:rsidP="00AA2FF8">
            <w:pPr>
              <w:spacing w:before="60" w:after="60"/>
              <w:ind w:left="171" w:firstLine="0"/>
              <w:jc w:val="left"/>
              <w:rPr>
                <w:sz w:val="18"/>
                <w:szCs w:val="20"/>
              </w:rPr>
            </w:pPr>
            <w:r w:rsidRPr="00690E57">
              <w:rPr>
                <w:sz w:val="18"/>
                <w:szCs w:val="20"/>
                <w:lang w:val="hy-AM"/>
              </w:rPr>
              <w:t>Զբաղվածության մակարդակ</w:t>
            </w:r>
            <w:r w:rsidRPr="00690E57">
              <w:rPr>
                <w:sz w:val="18"/>
                <w:szCs w:val="20"/>
              </w:rPr>
              <w:t>, %</w:t>
            </w:r>
          </w:p>
        </w:tc>
        <w:tc>
          <w:tcPr>
            <w:tcW w:w="850" w:type="dxa"/>
            <w:vAlign w:val="center"/>
          </w:tcPr>
          <w:p w14:paraId="527AE415" w14:textId="77777777" w:rsidR="00AA2FF8" w:rsidRPr="00A1796B" w:rsidRDefault="00AA2FF8" w:rsidP="00AA2FF8">
            <w:pPr>
              <w:spacing w:before="60" w:after="60"/>
              <w:ind w:firstLine="0"/>
              <w:jc w:val="left"/>
              <w:rPr>
                <w:sz w:val="18"/>
              </w:rPr>
            </w:pPr>
            <w:r w:rsidRPr="00A1796B">
              <w:rPr>
                <w:sz w:val="18"/>
              </w:rPr>
              <w:t>44.7</w:t>
            </w:r>
          </w:p>
        </w:tc>
        <w:tc>
          <w:tcPr>
            <w:tcW w:w="850" w:type="dxa"/>
            <w:vAlign w:val="center"/>
          </w:tcPr>
          <w:p w14:paraId="4F8CD8A3"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45.2</w:t>
            </w:r>
          </w:p>
        </w:tc>
        <w:tc>
          <w:tcPr>
            <w:tcW w:w="850" w:type="dxa"/>
            <w:vAlign w:val="center"/>
          </w:tcPr>
          <w:p w14:paraId="695FCB57"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46.8</w:t>
            </w:r>
          </w:p>
        </w:tc>
        <w:tc>
          <w:tcPr>
            <w:tcW w:w="850" w:type="dxa"/>
            <w:shd w:val="clear" w:color="auto" w:fill="FFC000"/>
          </w:tcPr>
          <w:p w14:paraId="1B08B88D" w14:textId="6759B5AB" w:rsidR="00AA2FF8" w:rsidRPr="00E27B78" w:rsidRDefault="00AA2FF8" w:rsidP="00AA2FF8">
            <w:pPr>
              <w:spacing w:before="60" w:after="60"/>
              <w:ind w:firstLine="0"/>
              <w:jc w:val="right"/>
              <w:rPr>
                <w:rFonts w:cs="Calibri"/>
                <w:color w:val="000000"/>
                <w:sz w:val="18"/>
                <w:szCs w:val="20"/>
              </w:rPr>
            </w:pPr>
            <w:r w:rsidRPr="002D0EC3">
              <w:rPr>
                <w:sz w:val="18"/>
                <w:szCs w:val="20"/>
              </w:rPr>
              <w:t>48.9</w:t>
            </w:r>
          </w:p>
        </w:tc>
        <w:tc>
          <w:tcPr>
            <w:tcW w:w="850" w:type="dxa"/>
            <w:shd w:val="clear" w:color="auto" w:fill="FFC000"/>
          </w:tcPr>
          <w:p w14:paraId="389CBAF0" w14:textId="779B4094" w:rsidR="00AA2FF8" w:rsidRPr="00E27B78" w:rsidRDefault="00AA2FF8" w:rsidP="00AA2FF8">
            <w:pPr>
              <w:spacing w:before="60" w:after="60"/>
              <w:ind w:firstLine="0"/>
              <w:jc w:val="right"/>
              <w:rPr>
                <w:rFonts w:cs="Calibri"/>
                <w:color w:val="000000"/>
                <w:sz w:val="18"/>
                <w:szCs w:val="20"/>
              </w:rPr>
            </w:pPr>
            <w:r w:rsidRPr="002D0EC3">
              <w:rPr>
                <w:sz w:val="18"/>
                <w:szCs w:val="20"/>
              </w:rPr>
              <w:t>47.8</w:t>
            </w:r>
          </w:p>
        </w:tc>
      </w:tr>
      <w:tr w:rsidR="00AA2FF8" w:rsidRPr="008D0608" w14:paraId="4EDE397E" w14:textId="77777777" w:rsidTr="002D0EC3">
        <w:trPr>
          <w:jc w:val="center"/>
        </w:trPr>
        <w:tc>
          <w:tcPr>
            <w:tcW w:w="4535" w:type="dxa"/>
            <w:vAlign w:val="center"/>
          </w:tcPr>
          <w:p w14:paraId="2527E3A5" w14:textId="77777777" w:rsidR="00AA2FF8" w:rsidRPr="00690E57" w:rsidRDefault="00AA2FF8" w:rsidP="00AA2FF8">
            <w:pPr>
              <w:spacing w:before="60" w:after="60"/>
              <w:ind w:left="171" w:firstLine="0"/>
              <w:jc w:val="left"/>
              <w:rPr>
                <w:sz w:val="18"/>
                <w:szCs w:val="20"/>
              </w:rPr>
            </w:pPr>
            <w:r w:rsidRPr="00690E57">
              <w:rPr>
                <w:sz w:val="18"/>
                <w:szCs w:val="20"/>
                <w:lang w:val="hy-AM"/>
              </w:rPr>
              <w:t>Գործազրկության մակարդակ</w:t>
            </w:r>
            <w:r w:rsidRPr="00690E57">
              <w:rPr>
                <w:sz w:val="18"/>
                <w:szCs w:val="20"/>
              </w:rPr>
              <w:t>, %</w:t>
            </w:r>
          </w:p>
        </w:tc>
        <w:tc>
          <w:tcPr>
            <w:tcW w:w="850" w:type="dxa"/>
            <w:vAlign w:val="center"/>
          </w:tcPr>
          <w:p w14:paraId="0654F9B3" w14:textId="77777777" w:rsidR="00AA2FF8" w:rsidRPr="00A1796B" w:rsidRDefault="00AA2FF8" w:rsidP="00AA2FF8">
            <w:pPr>
              <w:spacing w:before="60" w:after="60"/>
              <w:ind w:firstLine="0"/>
              <w:jc w:val="left"/>
              <w:rPr>
                <w:sz w:val="18"/>
              </w:rPr>
            </w:pPr>
            <w:r w:rsidRPr="00A1796B">
              <w:rPr>
                <w:sz w:val="18"/>
              </w:rPr>
              <w:t>20.8</w:t>
            </w:r>
          </w:p>
        </w:tc>
        <w:tc>
          <w:tcPr>
            <w:tcW w:w="850" w:type="dxa"/>
            <w:vAlign w:val="center"/>
          </w:tcPr>
          <w:p w14:paraId="04FC09D1"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20.5</w:t>
            </w:r>
          </w:p>
        </w:tc>
        <w:tc>
          <w:tcPr>
            <w:tcW w:w="850" w:type="dxa"/>
            <w:vAlign w:val="center"/>
          </w:tcPr>
          <w:p w14:paraId="54115CD5" w14:textId="77777777" w:rsidR="00AA2FF8" w:rsidRPr="00A1796B" w:rsidRDefault="00AA2FF8" w:rsidP="00AA2FF8">
            <w:pPr>
              <w:spacing w:before="60" w:after="60"/>
              <w:ind w:firstLine="0"/>
              <w:jc w:val="left"/>
              <w:rPr>
                <w:rFonts w:cs="Calibri"/>
                <w:color w:val="000000"/>
                <w:sz w:val="18"/>
              </w:rPr>
            </w:pPr>
            <w:r w:rsidRPr="00A1796B">
              <w:rPr>
                <w:rFonts w:cs="Calibri"/>
                <w:color w:val="000000"/>
                <w:sz w:val="18"/>
              </w:rPr>
              <w:t>18.9</w:t>
            </w:r>
          </w:p>
        </w:tc>
        <w:tc>
          <w:tcPr>
            <w:tcW w:w="850" w:type="dxa"/>
            <w:shd w:val="clear" w:color="auto" w:fill="FFC000"/>
          </w:tcPr>
          <w:p w14:paraId="39234347" w14:textId="1A095758" w:rsidR="00AA2FF8" w:rsidRPr="00E27B78" w:rsidRDefault="00AA2FF8" w:rsidP="00AA2FF8">
            <w:pPr>
              <w:spacing w:before="60" w:after="60"/>
              <w:ind w:firstLine="0"/>
              <w:jc w:val="right"/>
              <w:rPr>
                <w:rFonts w:cs="Calibri"/>
                <w:color w:val="000000"/>
                <w:sz w:val="18"/>
                <w:szCs w:val="20"/>
              </w:rPr>
            </w:pPr>
            <w:r w:rsidRPr="002D0EC3">
              <w:rPr>
                <w:sz w:val="18"/>
                <w:szCs w:val="20"/>
              </w:rPr>
              <w:t>18.3</w:t>
            </w:r>
          </w:p>
        </w:tc>
        <w:tc>
          <w:tcPr>
            <w:tcW w:w="850" w:type="dxa"/>
            <w:shd w:val="clear" w:color="auto" w:fill="FFC000"/>
          </w:tcPr>
          <w:p w14:paraId="18D8C3DA" w14:textId="73687BE5" w:rsidR="00AA2FF8" w:rsidRPr="00E27B78" w:rsidRDefault="00AA2FF8" w:rsidP="00AA2FF8">
            <w:pPr>
              <w:spacing w:before="60" w:after="60"/>
              <w:ind w:firstLine="0"/>
              <w:jc w:val="right"/>
              <w:rPr>
                <w:rFonts w:cs="Calibri"/>
                <w:color w:val="000000"/>
                <w:sz w:val="18"/>
                <w:szCs w:val="20"/>
              </w:rPr>
            </w:pPr>
            <w:r w:rsidRPr="002D0EC3">
              <w:rPr>
                <w:sz w:val="18"/>
                <w:szCs w:val="20"/>
              </w:rPr>
              <w:t>18.2</w:t>
            </w:r>
          </w:p>
        </w:tc>
      </w:tr>
    </w:tbl>
    <w:p w14:paraId="3E507290" w14:textId="36487A2D" w:rsidR="008E3735" w:rsidRDefault="008E3735" w:rsidP="008E3735">
      <w:pPr>
        <w:spacing w:before="240"/>
        <w:ind w:firstLine="602"/>
        <w:rPr>
          <w:lang w:val="hy-AM"/>
        </w:rPr>
      </w:pPr>
      <w:r>
        <w:rPr>
          <w:lang w:val="hy-AM"/>
        </w:rPr>
        <w:t xml:space="preserve"> Նկատենք, որ թեև 2019-ին 2017-ի համեմատ աշխատանքային ռեսուրսները մնացել են գրեթե անփոփոխ</w:t>
      </w:r>
      <w:r w:rsidR="0080140D">
        <w:rPr>
          <w:lang w:val="hy-AM"/>
        </w:rPr>
        <w:t>,</w:t>
      </w:r>
      <w:r>
        <w:rPr>
          <w:lang w:val="hy-AM"/>
        </w:rPr>
        <w:t xml:space="preserve"> աշխատանքի շուկայի մյուս ցուցանիշները որոշակիորեն բարելավվել են` զբաղվածության մակարդակն ավելացել է </w:t>
      </w:r>
      <w:r w:rsidR="004B3351" w:rsidRPr="008D325C">
        <w:rPr>
          <w:lang w:val="hy-AM"/>
        </w:rPr>
        <w:t>2.1</w:t>
      </w:r>
      <w:r>
        <w:rPr>
          <w:lang w:val="hy-AM"/>
        </w:rPr>
        <w:t xml:space="preserve"> տոկոսային կետով, իսկ գործազրկության մակարդակը կրճատվել է 1.9 տոկոսային կետով: Ըստ էության</w:t>
      </w:r>
      <w:r w:rsidR="0080140D">
        <w:rPr>
          <w:lang w:val="hy-AM"/>
        </w:rPr>
        <w:t>՝</w:t>
      </w:r>
      <w:r>
        <w:rPr>
          <w:lang w:val="hy-AM"/>
        </w:rPr>
        <w:t xml:space="preserve"> 2018-2019թթ. զբաղվածության ընդլայնումն ու գործազրկության կրճատումը հիմնականում </w:t>
      </w:r>
      <w:r w:rsidRPr="009568DA">
        <w:rPr>
          <w:lang w:val="hy-AM"/>
        </w:rPr>
        <w:t xml:space="preserve">չգրանցված աշխատողների ստվերից դուրս բերման </w:t>
      </w:r>
      <w:r>
        <w:rPr>
          <w:lang w:val="hy-AM"/>
        </w:rPr>
        <w:t xml:space="preserve">արդյունք է` հաշվի առնելով այն հանգամանքը, որ </w:t>
      </w:r>
      <w:r w:rsidRPr="009568DA">
        <w:rPr>
          <w:lang w:val="hy-AM"/>
        </w:rPr>
        <w:t>զբաղվածների մեծ մասն ավելացել է աշխատուժից դուրս գտնվող բնակչության հաշվին</w:t>
      </w:r>
      <w:r>
        <w:rPr>
          <w:lang w:val="hy-AM"/>
        </w:rPr>
        <w:t xml:space="preserve">: </w:t>
      </w:r>
      <w:r w:rsidRPr="002B657E">
        <w:rPr>
          <w:b/>
          <w:lang w:val="hy-AM"/>
        </w:rPr>
        <w:t>Այսինքն</w:t>
      </w:r>
      <w:r w:rsidR="0080140D">
        <w:rPr>
          <w:b/>
          <w:lang w:val="hy-AM"/>
        </w:rPr>
        <w:t>՝</w:t>
      </w:r>
      <w:r w:rsidRPr="002B657E">
        <w:rPr>
          <w:b/>
          <w:lang w:val="hy-AM"/>
        </w:rPr>
        <w:t xml:space="preserve"> կարելի է ենթադրել, որ վերոգրյալ զարգացումները ոչ թե աշխատաշուկայի իրական </w:t>
      </w:r>
      <w:r w:rsidRPr="00706B3E">
        <w:rPr>
          <w:b/>
          <w:lang w:val="hy-AM"/>
        </w:rPr>
        <w:t>փոփոխությունների, այլ պարզապես պաշտոնական ցուցանիշների բարելավման արդյունք են</w:t>
      </w:r>
      <w:r w:rsidRPr="00706B3E">
        <w:rPr>
          <w:rStyle w:val="FootnoteReference"/>
          <w:b/>
          <w:lang w:val="hy-AM"/>
        </w:rPr>
        <w:footnoteReference w:id="36"/>
      </w:r>
      <w:r w:rsidRPr="00706B3E">
        <w:rPr>
          <w:b/>
          <w:lang w:val="hy-AM"/>
        </w:rPr>
        <w:t>:</w:t>
      </w:r>
      <w:r>
        <w:rPr>
          <w:lang w:val="hy-AM"/>
        </w:rPr>
        <w:t xml:space="preserve"> Մյուս կողմից</w:t>
      </w:r>
      <w:r w:rsidR="0080140D">
        <w:rPr>
          <w:lang w:val="hy-AM"/>
        </w:rPr>
        <w:t>՝</w:t>
      </w:r>
      <w:r>
        <w:rPr>
          <w:lang w:val="hy-AM"/>
        </w:rPr>
        <w:t xml:space="preserve"> պետք է փաստենք, որ ստվերի կրճատումն ինքնին մեկանգամյա ազդեցություն է թողնում տնտեսության վրա, և որպես այ</w:t>
      </w:r>
      <w:r w:rsidR="003A752F">
        <w:rPr>
          <w:lang w:val="hy-AM"/>
        </w:rPr>
        <w:t>դ</w:t>
      </w:r>
      <w:r>
        <w:rPr>
          <w:lang w:val="hy-AM"/>
        </w:rPr>
        <w:t>պիսին չի հանդիսանում երկարաժամկետ տնտեսական աճի խթանման միջոց:</w:t>
      </w:r>
    </w:p>
    <w:p w14:paraId="2F47C559" w14:textId="0E363AB4" w:rsidR="008E3735" w:rsidRDefault="008E3735" w:rsidP="008E3735">
      <w:pPr>
        <w:spacing w:before="240"/>
        <w:ind w:firstLine="602"/>
        <w:rPr>
          <w:lang w:val="hy-AM"/>
        </w:rPr>
      </w:pPr>
      <w:r w:rsidRPr="007854CA">
        <w:rPr>
          <w:b/>
          <w:lang w:val="hy-AM"/>
        </w:rPr>
        <w:t>2020</w:t>
      </w:r>
      <w:r w:rsidR="00475007">
        <w:rPr>
          <w:b/>
          <w:lang w:val="hy-AM"/>
        </w:rPr>
        <w:t xml:space="preserve">թ. </w:t>
      </w:r>
      <w:r w:rsidRPr="007854CA">
        <w:rPr>
          <w:b/>
          <w:lang w:val="hy-AM"/>
        </w:rPr>
        <w:t xml:space="preserve">աշխատանքի շուկայում </w:t>
      </w:r>
      <w:r w:rsidR="00475007">
        <w:rPr>
          <w:b/>
          <w:lang w:val="hy-AM"/>
        </w:rPr>
        <w:t>գրանցված արդյունքները մտահոգիչ են</w:t>
      </w:r>
      <w:r w:rsidRPr="007854CA">
        <w:rPr>
          <w:b/>
          <w:lang w:val="hy-AM"/>
        </w:rPr>
        <w:t>:</w:t>
      </w:r>
      <w:r>
        <w:rPr>
          <w:lang w:val="hy-AM"/>
        </w:rPr>
        <w:t xml:space="preserve"> Գործազրկության մակարդակը 2020թ. նախորդ տարվա համեմատ </w:t>
      </w:r>
      <w:r w:rsidR="006058DE">
        <w:rPr>
          <w:lang w:val="hy-AM"/>
        </w:rPr>
        <w:t>պահպանվել է գրեթե նույն մակարդակում`</w:t>
      </w:r>
      <w:r>
        <w:rPr>
          <w:lang w:val="hy-AM"/>
        </w:rPr>
        <w:t xml:space="preserve"> կազմել</w:t>
      </w:r>
      <w:r w:rsidR="006058DE">
        <w:rPr>
          <w:lang w:val="hy-AM"/>
        </w:rPr>
        <w:t>ով</w:t>
      </w:r>
      <w:r>
        <w:rPr>
          <w:lang w:val="hy-AM"/>
        </w:rPr>
        <w:t xml:space="preserve"> 18.</w:t>
      </w:r>
      <w:r w:rsidR="006058DE">
        <w:rPr>
          <w:lang w:val="hy-AM"/>
        </w:rPr>
        <w:t>2</w:t>
      </w:r>
      <w:r w:rsidRPr="00186240">
        <w:rPr>
          <w:lang w:val="hy-AM"/>
        </w:rPr>
        <w:t xml:space="preserve">%: </w:t>
      </w:r>
      <w:r>
        <w:rPr>
          <w:lang w:val="hy-AM"/>
        </w:rPr>
        <w:t xml:space="preserve">Զբաղվածության մակարդակը </w:t>
      </w:r>
      <w:r w:rsidR="00F060AB">
        <w:rPr>
          <w:lang w:val="hy-AM"/>
        </w:rPr>
        <w:t xml:space="preserve">    </w:t>
      </w:r>
      <w:r>
        <w:rPr>
          <w:lang w:val="hy-AM"/>
        </w:rPr>
        <w:t>2019-ի համեմատ կրճատվել է 1.</w:t>
      </w:r>
      <w:r w:rsidR="00602F9A">
        <w:rPr>
          <w:lang w:val="hy-AM"/>
        </w:rPr>
        <w:t xml:space="preserve">1 </w:t>
      </w:r>
      <w:r>
        <w:rPr>
          <w:lang w:val="hy-AM"/>
        </w:rPr>
        <w:t>տոկոսային կետով և կազմել 47.</w:t>
      </w:r>
      <w:r w:rsidR="00602F9A">
        <w:rPr>
          <w:lang w:val="hy-AM"/>
        </w:rPr>
        <w:t>8</w:t>
      </w:r>
      <w:r w:rsidRPr="00186240">
        <w:rPr>
          <w:lang w:val="hy-AM"/>
        </w:rPr>
        <w:t xml:space="preserve">%: </w:t>
      </w:r>
      <w:r>
        <w:rPr>
          <w:lang w:val="hy-AM"/>
        </w:rPr>
        <w:t xml:space="preserve">Նկատենք նաև, որ զգալիորեն ավելացել է աշխատուժից դուրս բնակչությունը </w:t>
      </w:r>
      <w:r w:rsidRPr="00186240">
        <w:rPr>
          <w:lang w:val="hy-AM"/>
        </w:rPr>
        <w:t>(</w:t>
      </w:r>
      <w:r>
        <w:rPr>
          <w:lang w:val="hy-AM"/>
        </w:rPr>
        <w:t xml:space="preserve">շուրջ </w:t>
      </w:r>
      <w:r w:rsidR="00602F9A">
        <w:rPr>
          <w:lang w:val="hy-AM"/>
        </w:rPr>
        <w:t xml:space="preserve">30 </w:t>
      </w:r>
      <w:r>
        <w:rPr>
          <w:lang w:val="hy-AM"/>
        </w:rPr>
        <w:t>հազարով</w:t>
      </w:r>
      <w:r w:rsidRPr="00186240">
        <w:rPr>
          <w:lang w:val="hy-AM"/>
        </w:rPr>
        <w:t>)</w:t>
      </w:r>
      <w:r>
        <w:rPr>
          <w:lang w:val="hy-AM"/>
        </w:rPr>
        <w:t xml:space="preserve">, և կրճատվել աշխատուժը </w:t>
      </w:r>
      <w:r w:rsidRPr="00186240">
        <w:rPr>
          <w:lang w:val="hy-AM"/>
        </w:rPr>
        <w:t>(</w:t>
      </w:r>
      <w:r>
        <w:rPr>
          <w:lang w:val="hy-AM"/>
        </w:rPr>
        <w:t xml:space="preserve">շուրջ </w:t>
      </w:r>
      <w:r w:rsidR="00602F9A">
        <w:rPr>
          <w:lang w:val="hy-AM"/>
        </w:rPr>
        <w:t xml:space="preserve">31 </w:t>
      </w:r>
      <w:r>
        <w:rPr>
          <w:lang w:val="hy-AM"/>
        </w:rPr>
        <w:t>հազարով</w:t>
      </w:r>
      <w:r w:rsidRPr="00186240">
        <w:rPr>
          <w:lang w:val="hy-AM"/>
        </w:rPr>
        <w:t>)</w:t>
      </w:r>
      <w:r>
        <w:rPr>
          <w:lang w:val="hy-AM"/>
        </w:rPr>
        <w:t>, ինչը ևս փաստում է բնակչության կենսամակարդակի անկման և մարդկային կապիտալի թուլացման մասին:</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D00797" w14:paraId="23C5499F" w14:textId="77777777" w:rsidTr="00FC2CE7">
        <w:tc>
          <w:tcPr>
            <w:tcW w:w="9062" w:type="dxa"/>
            <w:shd w:val="clear" w:color="auto" w:fill="EDEDED" w:themeFill="accent3" w:themeFillTint="33"/>
          </w:tcPr>
          <w:p w14:paraId="6F6AA24C" w14:textId="77777777" w:rsidR="008E3735" w:rsidRPr="00CB4E17" w:rsidRDefault="008E3735" w:rsidP="00FC2CE7">
            <w:pPr>
              <w:spacing w:before="60" w:after="60" w:line="276" w:lineRule="auto"/>
              <w:jc w:val="center"/>
              <w:rPr>
                <w:color w:val="00B0F0"/>
                <w:sz w:val="22"/>
                <w:lang w:val="hy-AM"/>
              </w:rPr>
            </w:pPr>
            <w:r w:rsidRPr="00CB4E17">
              <w:rPr>
                <w:color w:val="00B0F0"/>
                <w:sz w:val="22"/>
                <w:lang w:val="hy-AM"/>
              </w:rPr>
              <w:lastRenderedPageBreak/>
              <w:t>ՀՀ կառավարության 2021թ. ծրագիր</w:t>
            </w:r>
          </w:p>
          <w:p w14:paraId="68E13BF0" w14:textId="77777777" w:rsidR="008E3735" w:rsidRPr="00186240" w:rsidRDefault="008E3735" w:rsidP="008E3735">
            <w:pPr>
              <w:pStyle w:val="ListParagraph"/>
              <w:numPr>
                <w:ilvl w:val="0"/>
                <w:numId w:val="15"/>
              </w:numPr>
              <w:spacing w:before="60" w:after="60" w:line="276" w:lineRule="auto"/>
              <w:ind w:left="318" w:hanging="284"/>
              <w:rPr>
                <w:sz w:val="20"/>
                <w:lang w:val="hy-AM"/>
              </w:rPr>
            </w:pPr>
            <w:r w:rsidRPr="00401637">
              <w:rPr>
                <w:sz w:val="20"/>
                <w:lang w:val="hy-AM"/>
              </w:rPr>
              <w:t xml:space="preserve">Մինչև 2026 թվականը Կառավարության տնտեսական թիրախներից է` </w:t>
            </w:r>
            <w:r w:rsidRPr="00401637">
              <w:rPr>
                <w:b/>
                <w:sz w:val="20"/>
                <w:lang w:val="hy-AM"/>
              </w:rPr>
              <w:t>10%-ից ցածր գործազրկության մակարդակ</w:t>
            </w:r>
            <w:r w:rsidRPr="00401637">
              <w:rPr>
                <w:sz w:val="20"/>
                <w:lang w:val="hy-AM"/>
              </w:rPr>
              <w:t>: 2026 թվականին ... գործազրկության մակարդակը 10%-ից նվազեցնելու համար Հայաստանի Հանրապետությանն անհրաժեշտ է տարեկան ՀՆԱ 7%-ից ավելի աճ:</w:t>
            </w:r>
          </w:p>
        </w:tc>
      </w:tr>
    </w:tbl>
    <w:p w14:paraId="3BD5B802" w14:textId="28044F5F" w:rsidR="00E068EE" w:rsidRPr="00033EEA" w:rsidRDefault="008E3735">
      <w:pPr>
        <w:spacing w:before="240"/>
        <w:ind w:firstLine="602"/>
        <w:rPr>
          <w:lang w:val="hy-AM"/>
        </w:rPr>
      </w:pPr>
      <w:r w:rsidRPr="007912CB">
        <w:rPr>
          <w:b/>
          <w:lang w:val="hy-AM"/>
        </w:rPr>
        <w:t xml:space="preserve">Ինչպես ՀՀ կառավարության 2021թ. ծրագրի սոցիալ-տնտեսական թիրախներից շատերը, գործազրկության թիրախը նույնպես </w:t>
      </w:r>
      <w:r>
        <w:rPr>
          <w:b/>
          <w:lang w:val="hy-AM"/>
        </w:rPr>
        <w:t>չափազանց հավակնոտ</w:t>
      </w:r>
      <w:r w:rsidRPr="007912CB">
        <w:rPr>
          <w:b/>
          <w:lang w:val="hy-AM"/>
        </w:rPr>
        <w:t xml:space="preserve"> է:</w:t>
      </w:r>
      <w:r>
        <w:rPr>
          <w:lang w:val="hy-AM"/>
        </w:rPr>
        <w:t xml:space="preserve"> Ընդ որում, այս դեպքում պատճառը միայն այն չէ, որ ՀՀ կառավարության վարած քաղաքականության արդյունքում այս ուղղությամբ էական առաջընթաց չի գրանցվել: </w:t>
      </w:r>
      <w:r w:rsidR="00F060AB">
        <w:rPr>
          <w:lang w:val="hy-AM"/>
        </w:rPr>
        <w:t>Ն</w:t>
      </w:r>
      <w:r>
        <w:rPr>
          <w:lang w:val="hy-AM"/>
        </w:rPr>
        <w:t>աև այն</w:t>
      </w:r>
      <w:r w:rsidR="00F060AB">
        <w:rPr>
          <w:lang w:val="hy-AM"/>
        </w:rPr>
        <w:t xml:space="preserve"> է</w:t>
      </w:r>
      <w:r>
        <w:rPr>
          <w:lang w:val="hy-AM"/>
        </w:rPr>
        <w:t xml:space="preserve">, որ ՀՀ կառավարությունը գործազրկության կրճատումն ուղղակիորեն պայմանավորում է բարձր տնտեսական աճով: </w:t>
      </w:r>
      <w:r w:rsidR="00220592" w:rsidRPr="00033EEA">
        <w:rPr>
          <w:lang w:val="hy-AM"/>
        </w:rPr>
        <w:t>Մի կողմ թողնելով տնտեսական աճի ընտրված թիրախի անիրատեսականությունը, ինչը բազմիցս փաստել ենք, այս դեպքում խնդիրն այն է, որ ՀՀ-ում գործազրկության բարձր մակարդակը տնտեսությունում առկա կառուցվածքային խնդիրների հետևանք է</w:t>
      </w:r>
      <w:r w:rsidR="001A3B97" w:rsidRPr="00033EEA">
        <w:rPr>
          <w:lang w:val="hy-AM"/>
        </w:rPr>
        <w:t>՝ պայմանավորված գյուղատնտեսության ոլորտում զբաղվածների մեծ կշռով, արտագնա աշխատանքի սեզոնայնությամբ, ոչ համաչափ տնտեսական զարգացմամբ և այլն:</w:t>
      </w:r>
      <w:r w:rsidR="00220592" w:rsidRPr="00033EEA">
        <w:rPr>
          <w:lang w:val="hy-AM"/>
        </w:rPr>
        <w:t xml:space="preserve"> </w:t>
      </w:r>
      <w:r w:rsidR="001A3B97" w:rsidRPr="00033EEA">
        <w:rPr>
          <w:lang w:val="hy-AM"/>
        </w:rPr>
        <w:t>Ավելին, այդ գործոնների առկայության պայմաններում</w:t>
      </w:r>
      <w:r w:rsidR="00220592" w:rsidRPr="00033EEA">
        <w:rPr>
          <w:lang w:val="hy-AM"/>
        </w:rPr>
        <w:t xml:space="preserve"> պատմականորեն ՀՀ-ում տնտեսական աճի ազդեցությունը գործազրկության նվազման վրա նշանակալի չի եղել: </w:t>
      </w:r>
    </w:p>
    <w:p w14:paraId="62FA0DB0" w14:textId="4865BA81" w:rsidR="008E3735" w:rsidRDefault="00220592">
      <w:pPr>
        <w:spacing w:before="240"/>
        <w:ind w:firstLine="602"/>
        <w:rPr>
          <w:b/>
          <w:lang w:val="hy-AM"/>
        </w:rPr>
      </w:pPr>
      <w:r w:rsidRPr="00033EEA">
        <w:rPr>
          <w:lang w:val="hy-AM"/>
        </w:rPr>
        <w:t>Այ</w:t>
      </w:r>
      <w:r w:rsidR="008647C3" w:rsidRPr="00033EEA">
        <w:rPr>
          <w:lang w:val="hy-AM"/>
        </w:rPr>
        <w:t>ս</w:t>
      </w:r>
      <w:r w:rsidRPr="00033EEA">
        <w:rPr>
          <w:lang w:val="hy-AM"/>
        </w:rPr>
        <w:t>ինքն</w:t>
      </w:r>
      <w:r w:rsidR="00F060AB">
        <w:rPr>
          <w:lang w:val="hy-AM"/>
        </w:rPr>
        <w:t>՝</w:t>
      </w:r>
      <w:r w:rsidRPr="00033EEA">
        <w:rPr>
          <w:lang w:val="hy-AM"/>
        </w:rPr>
        <w:t xml:space="preserve"> գործազրկության զգալի նվազման գործում միայն բարձր տնտեսական աճը բավարար չի լինի: Հետևաբար, կառավարությունը պետք է նաև նախատեսի և ներկայացնի կառուցվածքային քաղաքականության այնպիսի միջոցառումներ, որոնք կնպաստեն զբաղվածների քանակի աճին և գործազրկությա</w:t>
      </w:r>
      <w:r w:rsidR="001C3DCD" w:rsidRPr="00033EEA">
        <w:rPr>
          <w:lang w:val="hy-AM"/>
        </w:rPr>
        <w:t>ն</w:t>
      </w:r>
      <w:r w:rsidRPr="00033EEA">
        <w:rPr>
          <w:lang w:val="hy-AM"/>
        </w:rPr>
        <w:t xml:space="preserve"> կրճատմանը: </w:t>
      </w:r>
      <w:r w:rsidRPr="00033EEA">
        <w:rPr>
          <w:b/>
          <w:lang w:val="hy-AM"/>
        </w:rPr>
        <w:t>Առանց այդպիսի միջոցառումների</w:t>
      </w:r>
      <w:r w:rsidR="00872540">
        <w:rPr>
          <w:b/>
          <w:lang w:val="hy-AM"/>
        </w:rPr>
        <w:t>՝</w:t>
      </w:r>
      <w:r w:rsidRPr="00033EEA">
        <w:rPr>
          <w:b/>
          <w:lang w:val="hy-AM"/>
        </w:rPr>
        <w:t xml:space="preserve"> 10%-ից ցածր գործազրկության մակարդակի թիրախավորումը չի կարող իրատեսական համարվել:</w:t>
      </w:r>
    </w:p>
    <w:p w14:paraId="0C549A93" w14:textId="77777777" w:rsidR="00D00797" w:rsidRDefault="00D00797">
      <w:pPr>
        <w:spacing w:before="240"/>
        <w:ind w:firstLine="602"/>
        <w:rPr>
          <w:b/>
          <w:lang w:val="hy-AM"/>
        </w:rPr>
      </w:pPr>
    </w:p>
    <w:p w14:paraId="24BAB50C" w14:textId="77777777" w:rsidR="00D00797" w:rsidRDefault="00D00797">
      <w:pPr>
        <w:spacing w:before="240"/>
        <w:ind w:firstLine="602"/>
        <w:rPr>
          <w:b/>
          <w:lang w:val="hy-AM"/>
        </w:rPr>
      </w:pPr>
    </w:p>
    <w:p w14:paraId="29C05751" w14:textId="77777777" w:rsidR="00D00797" w:rsidRDefault="00D00797">
      <w:pPr>
        <w:spacing w:before="240"/>
        <w:ind w:firstLine="602"/>
        <w:rPr>
          <w:b/>
          <w:lang w:val="hy-AM"/>
        </w:rPr>
      </w:pPr>
    </w:p>
    <w:p w14:paraId="52E27C9E" w14:textId="77777777" w:rsidR="00D00797" w:rsidRDefault="00D00797">
      <w:pPr>
        <w:spacing w:before="240"/>
        <w:ind w:firstLine="602"/>
        <w:rPr>
          <w:b/>
          <w:lang w:val="hy-AM"/>
        </w:rPr>
      </w:pPr>
    </w:p>
    <w:p w14:paraId="55D38A18" w14:textId="77777777" w:rsidR="00D00797" w:rsidRPr="00033EEA" w:rsidRDefault="00D00797">
      <w:pPr>
        <w:spacing w:before="240"/>
        <w:ind w:firstLine="602"/>
        <w:rPr>
          <w:lang w:val="hy-AM"/>
        </w:rPr>
      </w:pPr>
    </w:p>
    <w:p w14:paraId="2DEC14A5" w14:textId="77777777" w:rsidR="008E3735" w:rsidRPr="00D1020F" w:rsidRDefault="008E3735" w:rsidP="00A83257">
      <w:pPr>
        <w:pStyle w:val="Heading2"/>
      </w:pPr>
      <w:bookmarkStart w:id="13" w:name="_Toc88138985"/>
      <w:r w:rsidRPr="00D1020F">
        <w:lastRenderedPageBreak/>
        <w:t>3.3. Բնակչության կյանքի որակի բարելավումն ու եկամուտների աճը` սոցիալ-տնտեսական քաղաքականության արդյունք</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E43665" w14:paraId="6325B37E" w14:textId="77777777" w:rsidTr="00FC2CE7">
        <w:tc>
          <w:tcPr>
            <w:tcW w:w="9062" w:type="dxa"/>
            <w:shd w:val="clear" w:color="auto" w:fill="EDEDED" w:themeFill="accent3" w:themeFillTint="33"/>
          </w:tcPr>
          <w:p w14:paraId="54E0D382" w14:textId="77777777" w:rsidR="008E3735" w:rsidRPr="00DD58AA" w:rsidRDefault="008E3735" w:rsidP="00FC2CE7">
            <w:pPr>
              <w:spacing w:before="60" w:after="60" w:line="276" w:lineRule="auto"/>
              <w:jc w:val="center"/>
              <w:rPr>
                <w:color w:val="00B0F0"/>
                <w:sz w:val="22"/>
                <w:lang w:val="hy-AM"/>
              </w:rPr>
            </w:pPr>
            <w:r w:rsidRPr="00DD58AA">
              <w:rPr>
                <w:color w:val="00B0F0"/>
                <w:sz w:val="22"/>
                <w:lang w:val="hy-AM"/>
              </w:rPr>
              <w:t>ՀՀ կառավարության 2019թ. ծրագիր</w:t>
            </w:r>
          </w:p>
          <w:p w14:paraId="501F0CB3" w14:textId="77777777" w:rsidR="008E3735" w:rsidRPr="00186240" w:rsidRDefault="008E3735" w:rsidP="008E3735">
            <w:pPr>
              <w:pStyle w:val="ListParagraph"/>
              <w:numPr>
                <w:ilvl w:val="0"/>
                <w:numId w:val="15"/>
              </w:numPr>
              <w:spacing w:before="60" w:after="60" w:line="276" w:lineRule="auto"/>
              <w:ind w:left="318" w:hanging="284"/>
              <w:rPr>
                <w:sz w:val="20"/>
                <w:lang w:val="hy-AM"/>
              </w:rPr>
            </w:pPr>
            <w:r w:rsidRPr="00186240">
              <w:rPr>
                <w:sz w:val="20"/>
                <w:lang w:val="hy-AM"/>
              </w:rPr>
              <w:t xml:space="preserve">Արժանապատվության և երջանկության զգացողության մեջ առաջնային նշանակություն ունի սոցիալական ապահովությունը։ Այս առումով կառավարության համար գերակա է լինելու </w:t>
            </w:r>
            <w:r w:rsidRPr="00186240">
              <w:rPr>
                <w:b/>
                <w:sz w:val="20"/>
                <w:lang w:val="hy-AM"/>
              </w:rPr>
              <w:t>բնակչության կենսամակարդակի էական բարելավումը</w:t>
            </w:r>
            <w:r w:rsidRPr="00186240">
              <w:rPr>
                <w:sz w:val="20"/>
                <w:lang w:val="hy-AM"/>
              </w:rPr>
              <w:t>:</w:t>
            </w:r>
          </w:p>
          <w:p w14:paraId="52370D23" w14:textId="77777777" w:rsidR="008E3735" w:rsidRPr="00E43665" w:rsidRDefault="008E3735" w:rsidP="008E3735">
            <w:pPr>
              <w:pStyle w:val="ListParagraph"/>
              <w:numPr>
                <w:ilvl w:val="0"/>
                <w:numId w:val="15"/>
              </w:numPr>
              <w:spacing w:before="60" w:after="60" w:line="276" w:lineRule="auto"/>
              <w:ind w:left="318" w:hanging="284"/>
              <w:rPr>
                <w:sz w:val="20"/>
              </w:rPr>
            </w:pPr>
            <w:r w:rsidRPr="008F5026">
              <w:rPr>
                <w:sz w:val="20"/>
                <w:lang w:val="hy-AM"/>
              </w:rPr>
              <w:t xml:space="preserve">Տնտեսական քաղաքականության նպատակը պետք է դառնա ... </w:t>
            </w:r>
            <w:r w:rsidRPr="008F5026">
              <w:rPr>
                <w:b/>
                <w:sz w:val="20"/>
                <w:lang w:val="hy-AM"/>
              </w:rPr>
              <w:t>աշխատավարձերի բարձրացումը</w:t>
            </w:r>
            <w:r w:rsidRPr="008F5026">
              <w:rPr>
                <w:sz w:val="20"/>
                <w:lang w:val="hy-AM"/>
              </w:rPr>
              <w:t xml:space="preserve">: </w:t>
            </w:r>
            <w:r w:rsidRPr="00E43665">
              <w:rPr>
                <w:sz w:val="20"/>
                <w:lang w:val="hy-AM"/>
              </w:rPr>
              <w:t xml:space="preserve">... </w:t>
            </w:r>
            <w:r w:rsidRPr="00186240">
              <w:rPr>
                <w:sz w:val="20"/>
                <w:lang w:val="hy-AM"/>
              </w:rPr>
              <w:t>Հայաստանի տնտեսության մեջ զբաղվածների արտադրողականությունը չպետք է զիջի մեր առևտրային գործընկերների ցուցանիշներին:</w:t>
            </w:r>
            <w:r w:rsidRPr="00E43665">
              <w:rPr>
                <w:sz w:val="20"/>
                <w:lang w:val="hy-AM"/>
              </w:rPr>
              <w:t xml:space="preserve"> ... </w:t>
            </w:r>
            <w:r w:rsidRPr="00E43665">
              <w:rPr>
                <w:sz w:val="20"/>
              </w:rPr>
              <w:t xml:space="preserve">Զբաղվածությունը քաղաքացուն պետք է </w:t>
            </w:r>
            <w:r w:rsidRPr="00E43665">
              <w:rPr>
                <w:b/>
                <w:sz w:val="20"/>
              </w:rPr>
              <w:t>երաշխավորի</w:t>
            </w:r>
            <w:r w:rsidRPr="00E43665">
              <w:rPr>
                <w:sz w:val="20"/>
              </w:rPr>
              <w:t xml:space="preserve"> </w:t>
            </w:r>
            <w:r w:rsidRPr="00E43665">
              <w:rPr>
                <w:b/>
                <w:sz w:val="20"/>
              </w:rPr>
              <w:t>արժանապատիվ եկամուտներ</w:t>
            </w:r>
            <w:r w:rsidRPr="00E43665">
              <w:rPr>
                <w:sz w:val="20"/>
              </w:rPr>
              <w:t>:</w:t>
            </w:r>
          </w:p>
          <w:p w14:paraId="24FFD6F3" w14:textId="6A63D66B" w:rsidR="008E3735" w:rsidRPr="00E43665" w:rsidRDefault="00142EEF" w:rsidP="008E3735">
            <w:pPr>
              <w:pStyle w:val="ListParagraph"/>
              <w:numPr>
                <w:ilvl w:val="0"/>
                <w:numId w:val="15"/>
              </w:numPr>
              <w:spacing w:before="60" w:after="60" w:line="276" w:lineRule="auto"/>
              <w:ind w:left="318" w:hanging="284"/>
              <w:rPr>
                <w:sz w:val="20"/>
              </w:rPr>
            </w:pPr>
            <w:r>
              <w:rPr>
                <w:sz w:val="20"/>
                <w:lang w:val="hy-AM"/>
              </w:rPr>
              <w:t>Հաշվի առնելով երկրի մակրոտնտեսական ցուցանիշները`</w:t>
            </w:r>
            <w:r w:rsidR="008E3735" w:rsidRPr="00E43665">
              <w:rPr>
                <w:sz w:val="20"/>
              </w:rPr>
              <w:t xml:space="preserve"> </w:t>
            </w:r>
            <w:r w:rsidR="008E3735" w:rsidRPr="00E43665">
              <w:rPr>
                <w:b/>
                <w:sz w:val="20"/>
              </w:rPr>
              <w:t>կիրականացվի նվազագույն ամսական աշխատավարձի շարունակական բարձրացում</w:t>
            </w:r>
            <w:r w:rsidR="008E3735" w:rsidRPr="00E43665">
              <w:rPr>
                <w:sz w:val="20"/>
              </w:rPr>
              <w:t>:</w:t>
            </w:r>
          </w:p>
          <w:p w14:paraId="05E5FCF3" w14:textId="77777777" w:rsidR="008E3735" w:rsidRPr="00E43665" w:rsidRDefault="008E3735" w:rsidP="008E3735">
            <w:pPr>
              <w:pStyle w:val="ListParagraph"/>
              <w:numPr>
                <w:ilvl w:val="0"/>
                <w:numId w:val="15"/>
              </w:numPr>
              <w:spacing w:before="60" w:after="60" w:line="276" w:lineRule="auto"/>
              <w:ind w:left="318" w:hanging="284"/>
              <w:rPr>
                <w:sz w:val="20"/>
              </w:rPr>
            </w:pPr>
            <w:r w:rsidRPr="00E43665">
              <w:rPr>
                <w:sz w:val="20"/>
              </w:rPr>
              <w:t xml:space="preserve">Պարբերաբար </w:t>
            </w:r>
            <w:r w:rsidRPr="00E43665">
              <w:rPr>
                <w:b/>
                <w:sz w:val="20"/>
              </w:rPr>
              <w:t>բարձրացվելու են պետական կենսաթոշակների չափերը</w:t>
            </w:r>
            <w:r w:rsidRPr="00E43665">
              <w:rPr>
                <w:sz w:val="20"/>
              </w:rPr>
              <w:t>` ապահովելով միջին կենսաթոշակի չափի առաջանցիկ աճ` գնաճի նկատմամբ:</w:t>
            </w:r>
          </w:p>
        </w:tc>
      </w:tr>
    </w:tbl>
    <w:p w14:paraId="3863D1F9" w14:textId="774EBEF8" w:rsidR="008E3735" w:rsidRDefault="008E3735" w:rsidP="008E3735">
      <w:pPr>
        <w:spacing w:before="240"/>
        <w:ind w:firstLine="602"/>
        <w:rPr>
          <w:lang w:val="hy-AM"/>
        </w:rPr>
      </w:pPr>
      <w:r>
        <w:rPr>
          <w:lang w:val="hy-AM"/>
        </w:rPr>
        <w:t xml:space="preserve">ՀՀ կառավարությունը 2019թ. ծրագրում բնակչության </w:t>
      </w:r>
      <w:r w:rsidRPr="002204EE">
        <w:rPr>
          <w:lang w:val="hy-AM"/>
        </w:rPr>
        <w:t>եկամուտներ</w:t>
      </w:r>
      <w:r>
        <w:rPr>
          <w:lang w:val="hy-AM"/>
        </w:rPr>
        <w:t>ի</w:t>
      </w:r>
      <w:r w:rsidRPr="002204EE">
        <w:rPr>
          <w:lang w:val="hy-AM"/>
        </w:rPr>
        <w:t xml:space="preserve"> </w:t>
      </w:r>
      <w:r>
        <w:rPr>
          <w:lang w:val="hy-AM"/>
        </w:rPr>
        <w:t>աճի</w:t>
      </w:r>
      <w:r w:rsidRPr="002204EE">
        <w:rPr>
          <w:lang w:val="hy-AM"/>
        </w:rPr>
        <w:t>, աշխատավարձեր</w:t>
      </w:r>
      <w:r>
        <w:rPr>
          <w:lang w:val="hy-AM"/>
        </w:rPr>
        <w:t>ի և</w:t>
      </w:r>
      <w:r w:rsidRPr="002204EE">
        <w:rPr>
          <w:lang w:val="hy-AM"/>
        </w:rPr>
        <w:t xml:space="preserve"> կենսաթոշակներ</w:t>
      </w:r>
      <w:r>
        <w:rPr>
          <w:lang w:val="hy-AM"/>
        </w:rPr>
        <w:t xml:space="preserve">ի </w:t>
      </w:r>
      <w:r w:rsidRPr="002204EE">
        <w:rPr>
          <w:lang w:val="hy-AM"/>
        </w:rPr>
        <w:t>բարձրաց</w:t>
      </w:r>
      <w:r>
        <w:rPr>
          <w:lang w:val="hy-AM"/>
        </w:rPr>
        <w:t>ման վերաբերյալ</w:t>
      </w:r>
      <w:r w:rsidRPr="002204EE">
        <w:rPr>
          <w:lang w:val="hy-AM"/>
        </w:rPr>
        <w:t xml:space="preserve"> </w:t>
      </w:r>
      <w:r>
        <w:rPr>
          <w:lang w:val="hy-AM"/>
        </w:rPr>
        <w:t>ներկայացված չեն հստակ և չափելի թվային ցուցանիշներ, այդուհանդերձ փորձենք առանձին-առ</w:t>
      </w:r>
      <w:r w:rsidR="0008181F">
        <w:rPr>
          <w:lang w:val="hy-AM"/>
        </w:rPr>
        <w:t>ան</w:t>
      </w:r>
      <w:r>
        <w:rPr>
          <w:lang w:val="hy-AM"/>
        </w:rPr>
        <w:t>ձին անդրադառնալ ՀՀ կառավարության վերո</w:t>
      </w:r>
      <w:r w:rsidR="00872540">
        <w:rPr>
          <w:lang w:val="hy-AM"/>
        </w:rPr>
        <w:t>հիշ</w:t>
      </w:r>
      <w:r>
        <w:rPr>
          <w:lang w:val="hy-AM"/>
        </w:rPr>
        <w:t>յալ խոստումներին և հասկանալ դրանց մասով գրանցված արդյունքները:</w:t>
      </w:r>
    </w:p>
    <w:p w14:paraId="687B1831" w14:textId="5669A8CE" w:rsidR="008E3735" w:rsidRPr="00232AB8" w:rsidRDefault="008E3735" w:rsidP="008E3735">
      <w:pPr>
        <w:spacing w:before="240"/>
        <w:ind w:firstLine="602"/>
        <w:rPr>
          <w:b/>
          <w:lang w:val="hy-AM"/>
        </w:rPr>
      </w:pPr>
      <w:r w:rsidRPr="00232AB8">
        <w:rPr>
          <w:b/>
          <w:lang w:val="hy-AM"/>
        </w:rPr>
        <w:t xml:space="preserve">Թեև «արժանապատիվ եկամուտներ» ձևակերպմանը դժվար է տալ տնտեսագիտական մեկնաբանություն, պետք է փաստենք, որ 2018-2019թթ. </w:t>
      </w:r>
      <w:r>
        <w:rPr>
          <w:b/>
          <w:lang w:val="hy-AM"/>
        </w:rPr>
        <w:t xml:space="preserve">տնային </w:t>
      </w:r>
      <w:r w:rsidRPr="00232AB8">
        <w:rPr>
          <w:b/>
          <w:lang w:val="hy-AM"/>
        </w:rPr>
        <w:t>տնտեսությունների եկամուտները մեծ հաշվով չեն գրանցել էական աճ:</w:t>
      </w:r>
      <w:r w:rsidRPr="00232AB8">
        <w:rPr>
          <w:lang w:val="hy-AM"/>
        </w:rPr>
        <w:t xml:space="preserve"> Այսպես, </w:t>
      </w:r>
      <w:r>
        <w:rPr>
          <w:lang w:val="hy-AM"/>
        </w:rPr>
        <w:t>2019</w:t>
      </w:r>
      <w:r w:rsidR="00AE73EE">
        <w:rPr>
          <w:lang w:val="hy-AM"/>
        </w:rPr>
        <w:t xml:space="preserve">-ին </w:t>
      </w:r>
      <w:r>
        <w:rPr>
          <w:lang w:val="hy-AM"/>
        </w:rPr>
        <w:t>տնային տնտեսությունների</w:t>
      </w:r>
      <w:r w:rsidR="00AE73EE">
        <w:rPr>
          <w:lang w:val="hy-AM"/>
        </w:rPr>
        <w:t>`</w:t>
      </w:r>
      <w:r>
        <w:rPr>
          <w:lang w:val="hy-AM"/>
        </w:rPr>
        <w:t xml:space="preserve"> մեկ շնչի հաշվով միջին ամսական </w:t>
      </w:r>
      <w:r w:rsidR="00AE73EE">
        <w:rPr>
          <w:lang w:val="hy-AM"/>
        </w:rPr>
        <w:t xml:space="preserve">դրամական </w:t>
      </w:r>
      <w:r>
        <w:rPr>
          <w:lang w:val="hy-AM"/>
        </w:rPr>
        <w:t>եկամուտները</w:t>
      </w:r>
      <w:r w:rsidR="000D095A">
        <w:rPr>
          <w:rStyle w:val="FootnoteReference"/>
          <w:lang w:val="hy-AM"/>
        </w:rPr>
        <w:footnoteReference w:id="37"/>
      </w:r>
      <w:r>
        <w:rPr>
          <w:lang w:val="hy-AM"/>
        </w:rPr>
        <w:t xml:space="preserve"> 2017-ի համեմատ ավելացել են ընդամենը մոտ 2,600 դրամով: Ընդ որում</w:t>
      </w:r>
      <w:r w:rsidR="00872540">
        <w:rPr>
          <w:lang w:val="hy-AM"/>
        </w:rPr>
        <w:t>,</w:t>
      </w:r>
      <w:r>
        <w:rPr>
          <w:lang w:val="hy-AM"/>
        </w:rPr>
        <w:t xml:space="preserve"> 2019-ին 2018-ի համեմատ շուրջ 3.7</w:t>
      </w:r>
      <w:r w:rsidRPr="00186240">
        <w:rPr>
          <w:lang w:val="hy-AM"/>
        </w:rPr>
        <w:t>%-</w:t>
      </w:r>
      <w:r>
        <w:rPr>
          <w:lang w:val="hy-AM"/>
        </w:rPr>
        <w:t xml:space="preserve">ով նվազել են տնային տնտեսությունների աշխատանքային եկամուտները, և ավելացել հիմնականում վաճառքներից և այլ մուտքերից ստացվող եկամուտները: </w:t>
      </w:r>
      <w:r w:rsidRPr="00E523FB">
        <w:rPr>
          <w:b/>
          <w:lang w:val="hy-AM"/>
        </w:rPr>
        <w:t>Թե որքանով կարելի է եկամուտների նշված աճը համարել «արժանապատիվ»</w:t>
      </w:r>
      <w:r w:rsidR="00872540">
        <w:rPr>
          <w:b/>
          <w:lang w:val="hy-AM"/>
        </w:rPr>
        <w:t>,</w:t>
      </w:r>
      <w:r w:rsidRPr="00E523FB">
        <w:rPr>
          <w:b/>
          <w:lang w:val="hy-AM"/>
        </w:rPr>
        <w:t xml:space="preserve"> թողնում ենք ընթերցողի դատողությանը:</w:t>
      </w:r>
      <w:r>
        <w:rPr>
          <w:lang w:val="hy-AM"/>
        </w:rPr>
        <w:t xml:space="preserve"> </w:t>
      </w:r>
      <w:r w:rsidRPr="00E523FB">
        <w:rPr>
          <w:b/>
          <w:lang w:val="hy-AM"/>
        </w:rPr>
        <w:t>2020-2021թթ. վերաբերյալ տեղեկատվություն դեռևս հրապարակված չէ, սակայն</w:t>
      </w:r>
      <w:r w:rsidR="00872540">
        <w:rPr>
          <w:b/>
          <w:lang w:val="hy-AM"/>
        </w:rPr>
        <w:t>,</w:t>
      </w:r>
      <w:r w:rsidR="00A8107E">
        <w:rPr>
          <w:b/>
          <w:lang w:val="hy-AM"/>
        </w:rPr>
        <w:t xml:space="preserve"> հաշվի առնելով 2020-ի խոր ճգնաժամային իրավիճակը, ինչպես նաև 2021 թվականին ՀՀ-ում շարունակվող ծանր հ</w:t>
      </w:r>
      <w:r w:rsidR="00B418DB">
        <w:rPr>
          <w:b/>
          <w:lang w:val="hy-AM"/>
        </w:rPr>
        <w:t>ետ</w:t>
      </w:r>
      <w:r w:rsidR="00A8107E">
        <w:rPr>
          <w:b/>
          <w:lang w:val="hy-AM"/>
        </w:rPr>
        <w:t>ճգնաժամային իրադրությունը`</w:t>
      </w:r>
      <w:r w:rsidRPr="00E523FB">
        <w:rPr>
          <w:b/>
          <w:lang w:val="hy-AM"/>
        </w:rPr>
        <w:t xml:space="preserve"> կարելի է ենթադրել, որ նշված ժամանակահատվածում տնային տնտեսությունների եկամուտները գրանցել են նվազող դինամիկա:</w:t>
      </w:r>
    </w:p>
    <w:p w14:paraId="555C0EBA" w14:textId="5D0FC5CC" w:rsidR="008E3735" w:rsidRPr="002D5DD4" w:rsidRDefault="008E3735" w:rsidP="008E3735">
      <w:pPr>
        <w:spacing w:before="240"/>
        <w:ind w:firstLine="602"/>
        <w:rPr>
          <w:b/>
          <w:lang w:val="hy-AM"/>
        </w:rPr>
      </w:pPr>
      <w:r w:rsidRPr="004807B7">
        <w:rPr>
          <w:b/>
          <w:lang w:val="hy-AM"/>
        </w:rPr>
        <w:lastRenderedPageBreak/>
        <w:t>Ինչ վերաբերում է աշխատավարձերի բարձրացմանը</w:t>
      </w:r>
      <w:r>
        <w:rPr>
          <w:b/>
          <w:lang w:val="hy-AM"/>
        </w:rPr>
        <w:t xml:space="preserve">` </w:t>
      </w:r>
      <w:r w:rsidRPr="004807B7">
        <w:rPr>
          <w:b/>
          <w:lang w:val="hy-AM"/>
        </w:rPr>
        <w:t>որպես տնտեսական քաղաքականության նպատակ, ապա պետք է արձանագրե</w:t>
      </w:r>
      <w:r w:rsidR="00872540" w:rsidRPr="008D325C">
        <w:rPr>
          <w:b/>
          <w:lang w:val="hy-AM"/>
        </w:rPr>
        <w:t>լ</w:t>
      </w:r>
      <w:r w:rsidRPr="004807B7">
        <w:rPr>
          <w:b/>
          <w:lang w:val="hy-AM"/>
        </w:rPr>
        <w:t>, որ այս մասով ևս ՀՀ կառավարությունը որևէ էական հաջողություն չի գրանցել:</w:t>
      </w:r>
      <w:r>
        <w:rPr>
          <w:b/>
          <w:lang w:val="hy-AM"/>
        </w:rPr>
        <w:t xml:space="preserve"> </w:t>
      </w:r>
      <w:r>
        <w:rPr>
          <w:lang w:val="hy-AM"/>
        </w:rPr>
        <w:t>Միջին ամսական անվանական աշխատավարձը</w:t>
      </w:r>
      <w:r w:rsidR="00613549">
        <w:rPr>
          <w:rStyle w:val="FootnoteReference"/>
          <w:lang w:val="hy-AM"/>
        </w:rPr>
        <w:footnoteReference w:id="38"/>
      </w:r>
      <w:r>
        <w:rPr>
          <w:lang w:val="hy-AM"/>
        </w:rPr>
        <w:t xml:space="preserve"> 2018-2020թթ. աճել է տարեկան միջին</w:t>
      </w:r>
      <w:r w:rsidR="00872540" w:rsidRPr="008D325C">
        <w:rPr>
          <w:lang w:val="hy-AM"/>
        </w:rPr>
        <w:t xml:space="preserve"> </w:t>
      </w:r>
      <w:r>
        <w:rPr>
          <w:lang w:val="hy-AM"/>
        </w:rPr>
        <w:t xml:space="preserve"> </w:t>
      </w:r>
      <w:r w:rsidR="00872540" w:rsidRPr="008D325C">
        <w:rPr>
          <w:lang w:val="hy-AM"/>
        </w:rPr>
        <w:t xml:space="preserve">հաշվով </w:t>
      </w:r>
      <w:r>
        <w:rPr>
          <w:lang w:val="hy-AM"/>
        </w:rPr>
        <w:t>շուրջ 4.5</w:t>
      </w:r>
      <w:r w:rsidRPr="00186240">
        <w:rPr>
          <w:lang w:val="hy-AM"/>
        </w:rPr>
        <w:t>%</w:t>
      </w:r>
      <w:r>
        <w:rPr>
          <w:lang w:val="hy-AM"/>
        </w:rPr>
        <w:t>-ով: Ընդ որում, պետական աշխատավարձերի տարեկան միջին աճը կազմել է շուրջ 5.1</w:t>
      </w:r>
      <w:r w:rsidRPr="00186240">
        <w:rPr>
          <w:lang w:val="hy-AM"/>
        </w:rPr>
        <w:t xml:space="preserve">%, </w:t>
      </w:r>
      <w:r>
        <w:rPr>
          <w:lang w:val="hy-AM"/>
        </w:rPr>
        <w:t>իսկ մասնավոր հատվածինը եղել է շատ ավելի համեստ` 3.6</w:t>
      </w:r>
      <w:r w:rsidRPr="00186240">
        <w:rPr>
          <w:lang w:val="hy-AM"/>
        </w:rPr>
        <w:t xml:space="preserve">%: </w:t>
      </w:r>
      <w:r>
        <w:rPr>
          <w:lang w:val="hy-AM"/>
        </w:rPr>
        <w:t>2021թ. հունվար-</w:t>
      </w:r>
      <w:r w:rsidR="00E32203">
        <w:rPr>
          <w:lang w:val="hy-AM"/>
        </w:rPr>
        <w:t xml:space="preserve">սեպտեմբերի </w:t>
      </w:r>
      <w:r>
        <w:rPr>
          <w:lang w:val="hy-AM"/>
        </w:rPr>
        <w:t>տվյալներով</w:t>
      </w:r>
      <w:r w:rsidR="00153363">
        <w:rPr>
          <w:rStyle w:val="FootnoteReference"/>
          <w:lang w:val="hy-AM"/>
        </w:rPr>
        <w:footnoteReference w:id="39"/>
      </w:r>
      <w:r>
        <w:rPr>
          <w:lang w:val="hy-AM"/>
        </w:rPr>
        <w:t xml:space="preserve"> անվանական աշխատավար</w:t>
      </w:r>
      <w:r w:rsidR="009460B6">
        <w:rPr>
          <w:lang w:val="hy-AM"/>
        </w:rPr>
        <w:t>-</w:t>
      </w:r>
      <w:r>
        <w:rPr>
          <w:lang w:val="hy-AM"/>
        </w:rPr>
        <w:t>ձերի աճը նախորդ տարվա հունվար-</w:t>
      </w:r>
      <w:r w:rsidR="00E32203">
        <w:rPr>
          <w:lang w:val="hy-AM"/>
        </w:rPr>
        <w:t xml:space="preserve">սեպտեմբերի </w:t>
      </w:r>
      <w:r>
        <w:rPr>
          <w:lang w:val="hy-AM"/>
        </w:rPr>
        <w:t>համեմատ կազմել է 6.</w:t>
      </w:r>
      <w:r w:rsidR="00E32203">
        <w:rPr>
          <w:lang w:val="hy-AM"/>
        </w:rPr>
        <w:t>3</w:t>
      </w:r>
      <w:r w:rsidRPr="00186240">
        <w:rPr>
          <w:lang w:val="hy-AM"/>
        </w:rPr>
        <w:t>%</w:t>
      </w:r>
      <w:r>
        <w:rPr>
          <w:lang w:val="hy-AM"/>
        </w:rPr>
        <w:t>. պետական աշխատավարձերն աճել են 3.6</w:t>
      </w:r>
      <w:r w:rsidRPr="00186240">
        <w:rPr>
          <w:lang w:val="hy-AM"/>
        </w:rPr>
        <w:t>%-</w:t>
      </w:r>
      <w:r>
        <w:rPr>
          <w:lang w:val="hy-AM"/>
        </w:rPr>
        <w:t xml:space="preserve">ով, իսկ մասնավոր հատվածի աշխատավարձերը` </w:t>
      </w:r>
      <w:r w:rsidR="00E32203">
        <w:rPr>
          <w:lang w:val="hy-AM"/>
        </w:rPr>
        <w:t>7.3</w:t>
      </w:r>
      <w:r w:rsidRPr="00186240">
        <w:rPr>
          <w:lang w:val="hy-AM"/>
        </w:rPr>
        <w:t>%-</w:t>
      </w:r>
      <w:r>
        <w:rPr>
          <w:lang w:val="hy-AM"/>
        </w:rPr>
        <w:t>ով:</w:t>
      </w:r>
    </w:p>
    <w:p w14:paraId="47ADEA3C" w14:textId="15850AE9" w:rsidR="008E3735" w:rsidRDefault="008E3735" w:rsidP="008E3735">
      <w:pPr>
        <w:spacing w:before="240"/>
        <w:ind w:firstLine="602"/>
        <w:rPr>
          <w:lang w:val="hy-AM"/>
        </w:rPr>
      </w:pPr>
      <w:r w:rsidRPr="003901F2">
        <w:rPr>
          <w:b/>
          <w:lang w:val="hy-AM"/>
        </w:rPr>
        <w:t xml:space="preserve">Նշված ժամանակահատվածում անվանական աշխատավարձերի նման սիմվոլիկ աճերը բնավ զարմանալի չեն, քանի որ ՀՀ կառավարության տնտեսական քաղաքականության հետևանքով էականորեն չի աճել նաև աշխատուժի արտադրողականությունը: </w:t>
      </w:r>
      <w:r>
        <w:rPr>
          <w:lang w:val="hy-AM"/>
        </w:rPr>
        <w:t xml:space="preserve">Աշխատանքի միջազգային կազմակերպության </w:t>
      </w:r>
      <w:r w:rsidRPr="00186240">
        <w:rPr>
          <w:lang w:val="hy-AM"/>
        </w:rPr>
        <w:t>(</w:t>
      </w:r>
      <w:r>
        <w:rPr>
          <w:lang w:val="hy-AM"/>
        </w:rPr>
        <w:t>ԱՄԿ</w:t>
      </w:r>
      <w:r w:rsidRPr="00186240">
        <w:rPr>
          <w:lang w:val="hy-AM"/>
        </w:rPr>
        <w:t>)</w:t>
      </w:r>
      <w:r>
        <w:rPr>
          <w:lang w:val="hy-AM"/>
        </w:rPr>
        <w:t xml:space="preserve"> </w:t>
      </w:r>
      <w:r w:rsidR="004442B5">
        <w:rPr>
          <w:lang w:val="hy-AM"/>
        </w:rPr>
        <w:t>գնահատումների արդյունքում պարզ է դառնում, որ</w:t>
      </w:r>
      <w:r>
        <w:rPr>
          <w:lang w:val="hy-AM"/>
        </w:rPr>
        <w:t xml:space="preserve"> աշխատուժի արտադրողականությունը</w:t>
      </w:r>
      <w:r w:rsidR="0041436F">
        <w:rPr>
          <w:rStyle w:val="FootnoteReference"/>
          <w:lang w:val="hy-AM"/>
        </w:rPr>
        <w:footnoteReference w:id="40"/>
      </w:r>
      <w:r>
        <w:rPr>
          <w:lang w:val="hy-AM"/>
        </w:rPr>
        <w:t xml:space="preserve"> ՀՀ-ում 201</w:t>
      </w:r>
      <w:r w:rsidR="004442B5">
        <w:rPr>
          <w:lang w:val="hy-AM"/>
        </w:rPr>
        <w:t>9</w:t>
      </w:r>
      <w:r>
        <w:rPr>
          <w:lang w:val="hy-AM"/>
        </w:rPr>
        <w:t xml:space="preserve">-ին </w:t>
      </w:r>
      <w:r w:rsidR="004442B5">
        <w:rPr>
          <w:lang w:val="hy-AM"/>
        </w:rPr>
        <w:t>2018</w:t>
      </w:r>
      <w:r>
        <w:rPr>
          <w:lang w:val="hy-AM"/>
        </w:rPr>
        <w:t>-ի համեմատ</w:t>
      </w:r>
      <w:r w:rsidR="004442B5">
        <w:rPr>
          <w:lang w:val="hy-AM"/>
        </w:rPr>
        <w:t xml:space="preserve"> աճել է</w:t>
      </w:r>
      <w:r>
        <w:rPr>
          <w:lang w:val="hy-AM"/>
        </w:rPr>
        <w:t xml:space="preserve"> </w:t>
      </w:r>
      <w:r w:rsidR="004442B5">
        <w:rPr>
          <w:lang w:val="hy-AM"/>
        </w:rPr>
        <w:t>7.8</w:t>
      </w:r>
      <w:r w:rsidR="004442B5" w:rsidRPr="00186240">
        <w:rPr>
          <w:lang w:val="hy-AM"/>
        </w:rPr>
        <w:t>%-</w:t>
      </w:r>
      <w:r w:rsidR="004442B5">
        <w:rPr>
          <w:lang w:val="hy-AM"/>
        </w:rPr>
        <w:t xml:space="preserve">ով, ինչի արդյունքում </w:t>
      </w:r>
      <w:r>
        <w:rPr>
          <w:lang w:val="hy-AM"/>
        </w:rPr>
        <w:t xml:space="preserve">մեկ աշխատողին բաժին հասնող ՀՆԱ-ն </w:t>
      </w:r>
      <w:r w:rsidR="004442B5">
        <w:rPr>
          <w:lang w:val="hy-AM"/>
        </w:rPr>
        <w:t xml:space="preserve">կազմել է շուրջ </w:t>
      </w:r>
      <w:r w:rsidR="004442B5" w:rsidRPr="004442B5">
        <w:rPr>
          <w:lang w:val="hy-AM"/>
        </w:rPr>
        <w:t>13,898</w:t>
      </w:r>
      <w:r>
        <w:rPr>
          <w:lang w:val="hy-AM"/>
        </w:rPr>
        <w:t xml:space="preserve"> ԱՄՆ դոլար: Ընդ որում, գրանցված արդյունքը բավարար չի եղել նաև ՀՀ առևտրային գործընկերների հանդեպ առավելության հասնելու հարցում, ինչը թիրախավորել էր ՀՀ կառավարությունը:</w:t>
      </w:r>
      <w:r w:rsidR="004442B5">
        <w:rPr>
          <w:lang w:val="hy-AM"/>
        </w:rPr>
        <w:t xml:space="preserve"> Համեմատության համար նշենք, որ Ռուսաստանի Դաշնությունում </w:t>
      </w:r>
      <w:r w:rsidR="00EE0A11">
        <w:rPr>
          <w:lang w:val="hy-AM"/>
        </w:rPr>
        <w:t>այս</w:t>
      </w:r>
      <w:r w:rsidR="004442B5">
        <w:rPr>
          <w:lang w:val="hy-AM"/>
        </w:rPr>
        <w:t xml:space="preserve"> ցուցանիշը 2019-ին կազմել է շուրջ </w:t>
      </w:r>
      <w:r w:rsidR="004442B5" w:rsidRPr="004442B5">
        <w:rPr>
          <w:lang w:val="hy-AM"/>
        </w:rPr>
        <w:t>25</w:t>
      </w:r>
      <w:r w:rsidR="004442B5">
        <w:rPr>
          <w:lang w:val="hy-AM"/>
        </w:rPr>
        <w:t>,</w:t>
      </w:r>
      <w:r w:rsidR="004442B5" w:rsidRPr="004442B5">
        <w:rPr>
          <w:lang w:val="hy-AM"/>
        </w:rPr>
        <w:t>165</w:t>
      </w:r>
      <w:r w:rsidR="004442B5">
        <w:rPr>
          <w:lang w:val="hy-AM"/>
        </w:rPr>
        <w:t xml:space="preserve"> ԱՄՆ դոլար:</w:t>
      </w:r>
    </w:p>
    <w:p w14:paraId="75FFD284" w14:textId="2C005A7F" w:rsidR="008E3735" w:rsidRDefault="008E3735" w:rsidP="008E3735">
      <w:pPr>
        <w:spacing w:before="240"/>
        <w:ind w:firstLine="602"/>
        <w:rPr>
          <w:lang w:val="hy-AM"/>
        </w:rPr>
      </w:pPr>
      <w:r w:rsidRPr="00040F3A">
        <w:rPr>
          <w:b/>
          <w:lang w:val="hy-AM"/>
        </w:rPr>
        <w:t>Պետք է արձանագրե</w:t>
      </w:r>
      <w:r w:rsidR="00872540" w:rsidRPr="008D325C">
        <w:rPr>
          <w:b/>
          <w:lang w:val="hy-AM"/>
        </w:rPr>
        <w:t>լ</w:t>
      </w:r>
      <w:r w:rsidRPr="00040F3A">
        <w:rPr>
          <w:b/>
          <w:lang w:val="hy-AM"/>
        </w:rPr>
        <w:t xml:space="preserve"> նաև, որ անվանական աշխատավարձերի ոչ նշանակալի աճերը 2018-2020թթ. ուղեկցվել են իրական աշխատավարձերի </w:t>
      </w:r>
      <w:r w:rsidRPr="00186240">
        <w:rPr>
          <w:b/>
          <w:lang w:val="hy-AM"/>
        </w:rPr>
        <w:t>(</w:t>
      </w:r>
      <w:r w:rsidRPr="00040F3A">
        <w:rPr>
          <w:b/>
          <w:lang w:val="hy-AM"/>
        </w:rPr>
        <w:t>գնաճով ճշգրտված</w:t>
      </w:r>
      <w:r w:rsidRPr="00186240">
        <w:rPr>
          <w:b/>
          <w:lang w:val="hy-AM"/>
        </w:rPr>
        <w:t>)</w:t>
      </w:r>
      <w:r w:rsidRPr="00040F3A">
        <w:rPr>
          <w:b/>
          <w:lang w:val="hy-AM"/>
        </w:rPr>
        <w:t xml:space="preserve"> շատ ավելի համեստ աճերով, իսկ 2021թ. արդյունքներով դրանք նույնիսկ անկումային են</w:t>
      </w:r>
      <w:r w:rsidR="00C117AF">
        <w:rPr>
          <w:rStyle w:val="FootnoteReference"/>
          <w:b/>
          <w:lang w:val="hy-AM"/>
        </w:rPr>
        <w:footnoteReference w:id="41"/>
      </w:r>
      <w:r w:rsidRPr="00040F3A">
        <w:rPr>
          <w:b/>
          <w:lang w:val="hy-AM"/>
        </w:rPr>
        <w:t>:</w:t>
      </w:r>
      <w:r>
        <w:rPr>
          <w:lang w:val="hy-AM"/>
        </w:rPr>
        <w:t xml:space="preserve"> Այսպես, 2018-ին իրական աշխատավարձերի աճը կազմել է 1.5</w:t>
      </w:r>
      <w:r w:rsidRPr="00186240">
        <w:rPr>
          <w:lang w:val="hy-AM"/>
        </w:rPr>
        <w:t>%, 2019-</w:t>
      </w:r>
      <w:r>
        <w:rPr>
          <w:lang w:val="hy-AM"/>
        </w:rPr>
        <w:t>ին` 4.3</w:t>
      </w:r>
      <w:r w:rsidRPr="00186240">
        <w:rPr>
          <w:lang w:val="hy-AM"/>
        </w:rPr>
        <w:t>%</w:t>
      </w:r>
      <w:r>
        <w:rPr>
          <w:lang w:val="hy-AM"/>
        </w:rPr>
        <w:t>, իսկ 2020-ին` 2.7</w:t>
      </w:r>
      <w:r w:rsidRPr="00186240">
        <w:rPr>
          <w:lang w:val="hy-AM"/>
        </w:rPr>
        <w:t xml:space="preserve">%: </w:t>
      </w:r>
      <w:r>
        <w:rPr>
          <w:lang w:val="hy-AM"/>
        </w:rPr>
        <w:t>2021թ. հունվար-</w:t>
      </w:r>
      <w:r w:rsidR="00891600">
        <w:rPr>
          <w:lang w:val="hy-AM"/>
        </w:rPr>
        <w:t xml:space="preserve">սեպտեմբեր </w:t>
      </w:r>
      <w:r>
        <w:rPr>
          <w:lang w:val="hy-AM"/>
        </w:rPr>
        <w:t>ամիսների դրությամբ աշխատավարձերի գնողունակությունը կտրուկ նվազել է` պայմանավորված տարեսկզբից ուղկեցվող բարձր գնաճով, ինչի արդյունքում իրական աշխատավարձերի անկումը կազմել է 0.4</w:t>
      </w:r>
      <w:r w:rsidRPr="00186240">
        <w:rPr>
          <w:lang w:val="hy-AM"/>
        </w:rPr>
        <w:t>%</w:t>
      </w:r>
      <w:r>
        <w:rPr>
          <w:lang w:val="hy-AM"/>
        </w:rPr>
        <w:t>:</w:t>
      </w:r>
      <w:r w:rsidRPr="00186240">
        <w:rPr>
          <w:lang w:val="hy-AM"/>
        </w:rPr>
        <w:t xml:space="preserve">  </w:t>
      </w:r>
      <w:r>
        <w:rPr>
          <w:lang w:val="hy-AM"/>
        </w:rPr>
        <w:t>Ընդ որում, պետական հատվածի իրական աշխատավարձերի աճը կազմել է -</w:t>
      </w:r>
      <w:r w:rsidR="00905606">
        <w:rPr>
          <w:lang w:val="hy-AM"/>
        </w:rPr>
        <w:t>3.1</w:t>
      </w:r>
      <w:r w:rsidRPr="00186240">
        <w:rPr>
          <w:lang w:val="hy-AM"/>
        </w:rPr>
        <w:t xml:space="preserve">%, </w:t>
      </w:r>
      <w:r>
        <w:rPr>
          <w:lang w:val="hy-AM"/>
        </w:rPr>
        <w:t xml:space="preserve">իսկ մասնավոր </w:t>
      </w:r>
      <w:r>
        <w:rPr>
          <w:lang w:val="hy-AM"/>
        </w:rPr>
        <w:lastRenderedPageBreak/>
        <w:t>հատվածինը` 0.</w:t>
      </w:r>
      <w:r w:rsidR="00905606">
        <w:rPr>
          <w:lang w:val="hy-AM"/>
        </w:rPr>
        <w:t>6</w:t>
      </w:r>
      <w:r w:rsidRPr="00186240">
        <w:rPr>
          <w:lang w:val="hy-AM"/>
        </w:rPr>
        <w:t xml:space="preserve">%: </w:t>
      </w:r>
      <w:r w:rsidRPr="00C808E5">
        <w:rPr>
          <w:b/>
          <w:lang w:val="hy-AM"/>
        </w:rPr>
        <w:t xml:space="preserve">Հաշվի առնելով այն հանգամանքը, որ </w:t>
      </w:r>
      <w:r>
        <w:rPr>
          <w:b/>
          <w:lang w:val="hy-AM"/>
        </w:rPr>
        <w:t>վերջին շրջանում գնաճի արագացող տեմպերը</w:t>
      </w:r>
      <w:r w:rsidRPr="00C808E5">
        <w:rPr>
          <w:b/>
          <w:lang w:val="hy-AM"/>
        </w:rPr>
        <w:t xml:space="preserve"> հիմնականում առաջին անհրաժեշտության ապրանքների գների կտրուկ </w:t>
      </w:r>
      <w:r>
        <w:rPr>
          <w:b/>
          <w:lang w:val="hy-AM"/>
        </w:rPr>
        <w:t>աճի արդյունք են</w:t>
      </w:r>
      <w:r w:rsidRPr="00C808E5">
        <w:rPr>
          <w:b/>
          <w:lang w:val="hy-AM"/>
        </w:rPr>
        <w:t>, կարող ենք ենթադրել, որ բնակչության իրական եկամուտները և կենսամակարդակը վերջին շրջանում շատ ավելի խոր անկումային է:</w:t>
      </w:r>
      <w:r>
        <w:rPr>
          <w:lang w:val="hy-AM"/>
        </w:rPr>
        <w:t xml:space="preserve"> </w:t>
      </w:r>
    </w:p>
    <w:p w14:paraId="723C002B" w14:textId="245061BB" w:rsidR="008E3735" w:rsidRDefault="008E3735" w:rsidP="008E3735">
      <w:pPr>
        <w:spacing w:before="240"/>
        <w:ind w:firstLine="602"/>
        <w:rPr>
          <w:lang w:val="hy-AM"/>
        </w:rPr>
      </w:pPr>
      <w:r w:rsidRPr="007652A4">
        <w:rPr>
          <w:b/>
          <w:lang w:val="hy-AM"/>
        </w:rPr>
        <w:t>Ինչ վերաբերում է նվազագույն աշխատավարձերի</w:t>
      </w:r>
      <w:r>
        <w:rPr>
          <w:b/>
          <w:lang w:val="hy-AM"/>
        </w:rPr>
        <w:t xml:space="preserve"> և կենսաթոշակների</w:t>
      </w:r>
      <w:r w:rsidRPr="007652A4">
        <w:rPr>
          <w:b/>
          <w:lang w:val="hy-AM"/>
        </w:rPr>
        <w:t xml:space="preserve"> շարունակական բարձրացման խոստմանը, ապա քննարկվող ժամանակահատվածում </w:t>
      </w:r>
      <w:r>
        <w:rPr>
          <w:b/>
          <w:lang w:val="hy-AM"/>
        </w:rPr>
        <w:t>դրանք</w:t>
      </w:r>
      <w:r w:rsidRPr="007652A4">
        <w:rPr>
          <w:b/>
          <w:lang w:val="hy-AM"/>
        </w:rPr>
        <w:t xml:space="preserve"> բարձրացվել </w:t>
      </w:r>
      <w:r>
        <w:rPr>
          <w:b/>
          <w:lang w:val="hy-AM"/>
        </w:rPr>
        <w:t>են</w:t>
      </w:r>
      <w:r w:rsidRPr="007652A4">
        <w:rPr>
          <w:b/>
          <w:lang w:val="hy-AM"/>
        </w:rPr>
        <w:t xml:space="preserve"> միայն մեկ անգամ:</w:t>
      </w:r>
      <w:r>
        <w:rPr>
          <w:lang w:val="hy-AM"/>
        </w:rPr>
        <w:t xml:space="preserve"> Նվազագույն աշխատավարձը 2020թ. հունվարից նախկինում գործող 55,000 դրամից դարձել է 68,000 դրամ, իսկ </w:t>
      </w:r>
      <w:r w:rsidRPr="00383033">
        <w:rPr>
          <w:lang w:val="hy-AM"/>
        </w:rPr>
        <w:t xml:space="preserve">կենսաթոշակները </w:t>
      </w:r>
      <w:r>
        <w:rPr>
          <w:lang w:val="hy-AM"/>
        </w:rPr>
        <w:t>բարձրացվել</w:t>
      </w:r>
      <w:r w:rsidRPr="00383033">
        <w:rPr>
          <w:lang w:val="hy-AM"/>
        </w:rPr>
        <w:t xml:space="preserve"> են միջին հաշվով ընդամենը շուրջ 10%-ով</w:t>
      </w:r>
      <w:r>
        <w:rPr>
          <w:lang w:val="hy-AM"/>
        </w:rPr>
        <w:t xml:space="preserve">: Ընդ որում, նվազագույն կենսաթոշակի չափը բարձրացվել է 1,000 դրամով, իսկ </w:t>
      </w:r>
      <w:r w:rsidRPr="00383033">
        <w:rPr>
          <w:lang w:val="hy-AM"/>
        </w:rPr>
        <w:t>աշխատանքային և զինվորական կենսաթոշակի չափը հաշվարկելու համար հիմնական կենսաթոշակի չափ</w:t>
      </w:r>
      <w:r>
        <w:rPr>
          <w:lang w:val="hy-AM"/>
        </w:rPr>
        <w:t xml:space="preserve">երը բարձրացվել են 2,000 դրամով: </w:t>
      </w:r>
      <w:r w:rsidRPr="000B1188">
        <w:rPr>
          <w:b/>
          <w:lang w:val="hy-AM"/>
        </w:rPr>
        <w:t>Այդուհանդերձ, կատարված փոփոխությունները բնակչության խոցելի խավերի իրական եկամուտների ավելացմանն էականորեն չեն նպաստել:</w:t>
      </w:r>
      <w:r>
        <w:rPr>
          <w:lang w:val="hy-AM"/>
        </w:rPr>
        <w:t xml:space="preserve"> Ինչպես արդեն նշեցինք, վերջին շրջանում գրանցված գնաճային զարգացումներն էապես թուլացրել են դրամի գնողունակությունը, ինչը հատկապես նկատելի է նվազագույն աշխատավարձ ստացողների և կենսաթոշակառուների շրջանում, քանի որ վերջիններս ավելի զգայուն են առաջին անհրաժեշտության ապրանքների գների փոփոխության հանդեպ: Նշենք, որ 2021թ. հունվար-</w:t>
      </w:r>
      <w:r w:rsidR="004F26C7">
        <w:rPr>
          <w:lang w:val="hy-AM"/>
        </w:rPr>
        <w:t xml:space="preserve">սեպտեմբերի </w:t>
      </w:r>
      <w:r>
        <w:rPr>
          <w:lang w:val="hy-AM"/>
        </w:rPr>
        <w:t xml:space="preserve">արդյունքներով </w:t>
      </w:r>
      <w:r w:rsidR="001C2B0B">
        <w:rPr>
          <w:lang w:val="hy-AM"/>
        </w:rPr>
        <w:t xml:space="preserve">2020թ. հունվար-սեպտեմբերի համեմատ </w:t>
      </w:r>
      <w:r>
        <w:rPr>
          <w:lang w:val="hy-AM"/>
        </w:rPr>
        <w:t>էականորեն աճել են խոցելի խավերի սպառման մեջ մեծ տեղ զբաղեցնող հետևյալ ապր</w:t>
      </w:r>
      <w:r w:rsidR="0008181F">
        <w:rPr>
          <w:lang w:val="hy-AM"/>
        </w:rPr>
        <w:t>ա</w:t>
      </w:r>
      <w:r>
        <w:rPr>
          <w:lang w:val="hy-AM"/>
        </w:rPr>
        <w:t>նքների գները</w:t>
      </w:r>
      <w:r w:rsidR="009D27BA">
        <w:rPr>
          <w:rStyle w:val="FootnoteReference"/>
          <w:lang w:val="hy-AM"/>
        </w:rPr>
        <w:footnoteReference w:id="42"/>
      </w:r>
      <w:r>
        <w:rPr>
          <w:lang w:val="hy-AM"/>
        </w:rPr>
        <w:t xml:space="preserve">. </w:t>
      </w:r>
      <w:r w:rsidRPr="001A0D54">
        <w:rPr>
          <w:lang w:val="hy-AM"/>
        </w:rPr>
        <w:t xml:space="preserve">ալյուր` </w:t>
      </w:r>
      <w:r w:rsidR="00E10D95">
        <w:rPr>
          <w:lang w:val="hy-AM"/>
        </w:rPr>
        <w:t>10</w:t>
      </w:r>
      <w:r>
        <w:rPr>
          <w:lang w:val="hy-AM"/>
        </w:rPr>
        <w:t>.</w:t>
      </w:r>
      <w:r w:rsidRPr="001A0D54">
        <w:rPr>
          <w:lang w:val="hy-AM"/>
        </w:rPr>
        <w:t xml:space="preserve">6%, հաց` </w:t>
      </w:r>
      <w:r w:rsidR="00E10D95">
        <w:rPr>
          <w:lang w:val="hy-AM"/>
        </w:rPr>
        <w:t>8</w:t>
      </w:r>
      <w:r>
        <w:rPr>
          <w:lang w:val="hy-AM"/>
        </w:rPr>
        <w:t>.</w:t>
      </w:r>
      <w:r w:rsidRPr="001A0D54">
        <w:rPr>
          <w:lang w:val="hy-AM"/>
        </w:rPr>
        <w:t xml:space="preserve">6%, մակարոնեղեն` </w:t>
      </w:r>
      <w:r w:rsidR="00E10D95">
        <w:rPr>
          <w:lang w:val="hy-AM"/>
        </w:rPr>
        <w:t>5.6</w:t>
      </w:r>
      <w:r w:rsidRPr="001A0D54">
        <w:rPr>
          <w:lang w:val="hy-AM"/>
        </w:rPr>
        <w:t>%,</w:t>
      </w:r>
      <w:r>
        <w:rPr>
          <w:lang w:val="hy-AM"/>
        </w:rPr>
        <w:t xml:space="preserve"> </w:t>
      </w:r>
      <w:r w:rsidRPr="001A0D54">
        <w:rPr>
          <w:lang w:val="hy-AM"/>
        </w:rPr>
        <w:t xml:space="preserve">բրինձ` </w:t>
      </w:r>
      <w:r w:rsidR="00E10D95">
        <w:rPr>
          <w:lang w:val="hy-AM"/>
        </w:rPr>
        <w:t>12.3</w:t>
      </w:r>
      <w:r w:rsidRPr="001A0D54">
        <w:rPr>
          <w:lang w:val="hy-AM"/>
        </w:rPr>
        <w:t>%</w:t>
      </w:r>
      <w:r>
        <w:rPr>
          <w:lang w:val="hy-AM"/>
        </w:rPr>
        <w:t>,</w:t>
      </w:r>
      <w:r w:rsidRPr="001A0D54">
        <w:rPr>
          <w:lang w:val="hy-AM"/>
        </w:rPr>
        <w:t xml:space="preserve"> թռչնամիս` </w:t>
      </w:r>
      <w:r w:rsidR="00E10D95">
        <w:rPr>
          <w:lang w:val="hy-AM"/>
        </w:rPr>
        <w:t>15.4</w:t>
      </w:r>
      <w:r w:rsidRPr="001A0D54">
        <w:rPr>
          <w:lang w:val="hy-AM"/>
        </w:rPr>
        <w:t xml:space="preserve">%, ձուկ` </w:t>
      </w:r>
      <w:r w:rsidR="00E10D95">
        <w:rPr>
          <w:lang w:val="hy-AM"/>
        </w:rPr>
        <w:t>15.0</w:t>
      </w:r>
      <w:r w:rsidRPr="001A0D54">
        <w:rPr>
          <w:lang w:val="hy-AM"/>
        </w:rPr>
        <w:t xml:space="preserve">%, ձու` </w:t>
      </w:r>
      <w:r w:rsidR="00E10D95">
        <w:rPr>
          <w:lang w:val="hy-AM"/>
        </w:rPr>
        <w:t>46.2</w:t>
      </w:r>
      <w:r w:rsidRPr="001A0D54">
        <w:rPr>
          <w:lang w:val="hy-AM"/>
        </w:rPr>
        <w:t xml:space="preserve">%, յուղեր և ճարպեր` </w:t>
      </w:r>
      <w:r w:rsidR="00E10D95">
        <w:rPr>
          <w:lang w:val="hy-AM"/>
        </w:rPr>
        <w:t>27.8</w:t>
      </w:r>
      <w:r w:rsidRPr="001A0D54">
        <w:rPr>
          <w:lang w:val="hy-AM"/>
        </w:rPr>
        <w:t xml:space="preserve">%, բանջարեղեն` </w:t>
      </w:r>
      <w:r w:rsidR="00E10D95">
        <w:rPr>
          <w:lang w:val="hy-AM"/>
        </w:rPr>
        <w:t>20.6</w:t>
      </w:r>
      <w:r w:rsidRPr="001A0D54">
        <w:rPr>
          <w:lang w:val="hy-AM"/>
        </w:rPr>
        <w:t xml:space="preserve">%, շաքար` </w:t>
      </w:r>
      <w:r w:rsidR="00E10D95">
        <w:rPr>
          <w:lang w:val="hy-AM"/>
        </w:rPr>
        <w:t>39.5</w:t>
      </w:r>
      <w:r w:rsidRPr="001A0D54">
        <w:rPr>
          <w:lang w:val="hy-AM"/>
        </w:rPr>
        <w:t>%:</w:t>
      </w:r>
    </w:p>
    <w:p w14:paraId="02DF7952" w14:textId="3AC1FB94" w:rsidR="008E3735" w:rsidRDefault="008E3735" w:rsidP="008E3735">
      <w:pPr>
        <w:spacing w:before="240"/>
        <w:ind w:firstLine="602"/>
        <w:rPr>
          <w:lang w:val="hy-AM"/>
        </w:rPr>
      </w:pPr>
      <w:r>
        <w:rPr>
          <w:lang w:val="hy-AM"/>
        </w:rPr>
        <w:t>Այսպես</w:t>
      </w:r>
      <w:r w:rsidR="009B1A93" w:rsidRPr="008D325C">
        <w:rPr>
          <w:lang w:val="hy-AM"/>
        </w:rPr>
        <w:t>,</w:t>
      </w:r>
      <w:r>
        <w:rPr>
          <w:lang w:val="hy-AM"/>
        </w:rPr>
        <w:t xml:space="preserve"> կարող ենք արձանագրել, որ 2018-2020թթ. և 2021թ. հունվար-օգոստոս ամիսների արդյունքներով ՀՀ բնակչության կենսամակարդակն անկումային է` պայմանավորված մի կողմից</w:t>
      </w:r>
      <w:r w:rsidR="009B1A93" w:rsidRPr="008D325C">
        <w:rPr>
          <w:lang w:val="hy-AM"/>
        </w:rPr>
        <w:t>՝</w:t>
      </w:r>
      <w:r>
        <w:rPr>
          <w:lang w:val="hy-AM"/>
        </w:rPr>
        <w:t xml:space="preserve"> եկամուտների ոչ էական աճերով, մյուս կողմից` գնաճային կտրուկ զարգացումներով: </w:t>
      </w:r>
      <w:r w:rsidRPr="001355D5">
        <w:rPr>
          <w:b/>
          <w:lang w:val="hy-AM"/>
        </w:rPr>
        <w:t>Արդյունքում կարող ենք փաստել, որ ձախողած սոցիալ-տնտեսական քաղաքականություն</w:t>
      </w:r>
      <w:r w:rsidR="004F2086">
        <w:rPr>
          <w:b/>
          <w:lang w:val="hy-AM"/>
        </w:rPr>
        <w:t>ն</w:t>
      </w:r>
      <w:r w:rsidRPr="001355D5">
        <w:rPr>
          <w:b/>
          <w:lang w:val="hy-AM"/>
        </w:rPr>
        <w:t>երի արդյունքում ՀՀ կառավարությանը չի հաջողվել նշված ժամանակահատվածում ապահովել բնակչության կյանքի որակի բարելավում և իրական եկամուտների աճ:</w:t>
      </w:r>
      <w:r>
        <w:rPr>
          <w:lang w:val="hy-AM"/>
        </w:rPr>
        <w:t xml:space="preserve"> </w:t>
      </w:r>
    </w:p>
    <w:p w14:paraId="523DF077" w14:textId="5E1E3328" w:rsidR="008E3735" w:rsidRPr="00F02662" w:rsidRDefault="008E3735" w:rsidP="008E3735">
      <w:pPr>
        <w:spacing w:before="240"/>
        <w:ind w:firstLine="602"/>
        <w:rPr>
          <w:lang w:val="hy-AM"/>
        </w:rPr>
      </w:pPr>
      <w:r w:rsidRPr="006B2DF2">
        <w:rPr>
          <w:b/>
          <w:lang w:val="hy-AM"/>
        </w:rPr>
        <w:lastRenderedPageBreak/>
        <w:t>Մտահոգիչ է նաև այն հանգամանքը, որ եկամուտների գրեթե անփոփոխ մակարդակի պայմաններում սպառման ֆինանսավորման համար տնային տնտեսությունները հարկադրված են եղել օգտագո</w:t>
      </w:r>
      <w:r w:rsidR="00A05076" w:rsidRPr="006B2DF2">
        <w:rPr>
          <w:b/>
          <w:lang w:val="hy-AM"/>
        </w:rPr>
        <w:t>ր</w:t>
      </w:r>
      <w:r w:rsidRPr="006B2DF2">
        <w:rPr>
          <w:b/>
          <w:lang w:val="hy-AM"/>
        </w:rPr>
        <w:t>ծելու պարտքային գործիքներ` կտրուկ ավելացնելով ֆինանսական բեռնվածությունը:</w:t>
      </w:r>
      <w:r>
        <w:rPr>
          <w:lang w:val="hy-AM"/>
        </w:rPr>
        <w:t xml:space="preserve"> Մասնավորապես, սպառողական և հիպոթեքային վարկերը 2018-2020թթ. ընթացքում գրանցել են շեշտակի աճ. դրանց ծավալները 2020-ին 2017-ի համեմատ </w:t>
      </w:r>
      <w:r w:rsidRPr="00F02662">
        <w:rPr>
          <w:lang w:val="hy-AM"/>
        </w:rPr>
        <w:t>աճել են ավելի քան</w:t>
      </w:r>
      <w:r>
        <w:rPr>
          <w:lang w:val="hy-AM"/>
        </w:rPr>
        <w:t xml:space="preserve"> 2 անգամ</w:t>
      </w:r>
      <w:r w:rsidR="00DF196D">
        <w:rPr>
          <w:rStyle w:val="FootnoteReference"/>
          <w:lang w:val="hy-AM"/>
        </w:rPr>
        <w:footnoteReference w:id="43"/>
      </w:r>
      <w:r>
        <w:rPr>
          <w:lang w:val="hy-AM"/>
        </w:rPr>
        <w:t>, այն դեպքում, երբ եկամուտների աճը եղել է անհամեմատ ավելի ցածր: Ընդ որում</w:t>
      </w:r>
      <w:r w:rsidR="00B05B4B" w:rsidRPr="008D325C">
        <w:rPr>
          <w:lang w:val="hy-AM"/>
        </w:rPr>
        <w:t>,</w:t>
      </w:r>
      <w:r>
        <w:rPr>
          <w:lang w:val="hy-AM"/>
        </w:rPr>
        <w:t xml:space="preserve"> պետք է նկատենք, որ սպառողների ցուցաբերած նման վարքագիծը եղել է ռացիոնալ` խարսխված լինելով ՀՀ կառավարության փոխանցած դրական ազդակների վրա </w:t>
      </w:r>
      <w:r w:rsidRPr="00186240">
        <w:rPr>
          <w:lang w:val="hy-AM"/>
        </w:rPr>
        <w:t>(</w:t>
      </w:r>
      <w:r>
        <w:rPr>
          <w:lang w:val="hy-AM"/>
        </w:rPr>
        <w:t>օրինակ` եկամուտների, աշխատավարձերի, կենսաթոշակների բարձրացման խոստումները</w:t>
      </w:r>
      <w:r w:rsidRPr="00186240">
        <w:rPr>
          <w:lang w:val="hy-AM"/>
        </w:rPr>
        <w:t>)</w:t>
      </w:r>
      <w:r>
        <w:rPr>
          <w:lang w:val="hy-AM"/>
        </w:rPr>
        <w:t xml:space="preserve">, որոնք այդպես էլ իրականություն չդարձան: Արդյունքում զարմանալի չէ, որ 2021թ. ընթացքում տնային տնտեսությունները դեպի ներքև են վերանայել իրենց սպասումները </w:t>
      </w:r>
      <w:r w:rsidRPr="00186240">
        <w:rPr>
          <w:lang w:val="hy-AM"/>
        </w:rPr>
        <w:t>(</w:t>
      </w:r>
      <w:r>
        <w:rPr>
          <w:lang w:val="hy-AM"/>
        </w:rPr>
        <w:t>դրանք այժմ ավելի վատատեսական են</w:t>
      </w:r>
      <w:r w:rsidRPr="00186240">
        <w:rPr>
          <w:lang w:val="hy-AM"/>
        </w:rPr>
        <w:t>)</w:t>
      </w:r>
      <w:r>
        <w:rPr>
          <w:lang w:val="hy-AM"/>
        </w:rPr>
        <w:t xml:space="preserve">, ինչի հետևանքով զգալիորեն թուլացել է վարկավորման պահանջարկը: </w:t>
      </w:r>
      <w:r w:rsidRPr="00386F7E">
        <w:rPr>
          <w:b/>
          <w:lang w:val="hy-AM"/>
        </w:rPr>
        <w:t>Այս ամենը ևս իր հերթին փաստում է, որ բնակչության կյանքի որակը ոչ միայն չի բարելավվել, այլև անկումային և ոչ խոստումնալից</w:t>
      </w:r>
      <w:r w:rsidR="00B05B4B" w:rsidRPr="00B05B4B">
        <w:rPr>
          <w:b/>
          <w:lang w:val="hy-AM"/>
        </w:rPr>
        <w:t xml:space="preserve"> </w:t>
      </w:r>
      <w:r w:rsidR="00B05B4B" w:rsidRPr="00386F7E">
        <w:rPr>
          <w:b/>
          <w:lang w:val="hy-AM"/>
        </w:rPr>
        <w:t>է</w:t>
      </w:r>
      <w:r w:rsidRPr="00386F7E">
        <w:rPr>
          <w:b/>
          <w:lang w:val="hy-AM"/>
        </w:rPr>
        <w:t>:</w:t>
      </w:r>
      <w:r>
        <w:rPr>
          <w:lang w:val="hy-AM"/>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8E3735" w:rsidRPr="00F91EA9" w14:paraId="7EFB3375" w14:textId="77777777" w:rsidTr="00FC2CE7">
        <w:tc>
          <w:tcPr>
            <w:tcW w:w="9062" w:type="dxa"/>
            <w:shd w:val="clear" w:color="auto" w:fill="EDEDED" w:themeFill="accent3" w:themeFillTint="33"/>
          </w:tcPr>
          <w:p w14:paraId="2D3EEF7C" w14:textId="77777777" w:rsidR="008E3735" w:rsidRPr="00C5554D" w:rsidRDefault="008E3735" w:rsidP="00FC2CE7">
            <w:pPr>
              <w:spacing w:before="60" w:after="60" w:line="276" w:lineRule="auto"/>
              <w:jc w:val="center"/>
              <w:rPr>
                <w:color w:val="00B0F0"/>
                <w:sz w:val="22"/>
                <w:lang w:val="hy-AM"/>
              </w:rPr>
            </w:pPr>
            <w:r w:rsidRPr="00C5554D">
              <w:rPr>
                <w:color w:val="00B0F0"/>
                <w:sz w:val="22"/>
                <w:lang w:val="hy-AM"/>
              </w:rPr>
              <w:t>ՀՀ կառավարության 20</w:t>
            </w:r>
            <w:r w:rsidRPr="00C5554D">
              <w:rPr>
                <w:color w:val="00B0F0"/>
                <w:sz w:val="22"/>
              </w:rPr>
              <w:t>21</w:t>
            </w:r>
            <w:r w:rsidRPr="00C5554D">
              <w:rPr>
                <w:color w:val="00B0F0"/>
                <w:sz w:val="22"/>
                <w:lang w:val="hy-AM"/>
              </w:rPr>
              <w:t>թ. ծրագիր</w:t>
            </w:r>
          </w:p>
          <w:p w14:paraId="627621E4" w14:textId="77777777" w:rsidR="008E3735" w:rsidRPr="00F91EA9" w:rsidRDefault="008E3735" w:rsidP="008E3735">
            <w:pPr>
              <w:pStyle w:val="ListParagraph"/>
              <w:numPr>
                <w:ilvl w:val="0"/>
                <w:numId w:val="16"/>
              </w:numPr>
              <w:spacing w:before="60" w:after="60" w:line="276" w:lineRule="auto"/>
              <w:ind w:left="318" w:hanging="284"/>
              <w:rPr>
                <w:sz w:val="20"/>
              </w:rPr>
            </w:pPr>
            <w:r w:rsidRPr="00186240">
              <w:rPr>
                <w:sz w:val="20"/>
                <w:lang w:val="hy-AM"/>
              </w:rPr>
              <w:t xml:space="preserve">ՀՆԱ-ի 7% և ավելի աճի ցուցանիշի ապահովման շնորհիվ էականորեն կբարձրանա մարդկանց կյանքի որակը, </w:t>
            </w:r>
            <w:r w:rsidRPr="00186240">
              <w:rPr>
                <w:b/>
                <w:sz w:val="20"/>
                <w:lang w:val="hy-AM"/>
              </w:rPr>
              <w:t>կաճեն եկամուտները</w:t>
            </w:r>
            <w:r w:rsidRPr="00186240">
              <w:rPr>
                <w:sz w:val="20"/>
                <w:lang w:val="hy-AM"/>
              </w:rPr>
              <w:t xml:space="preserve">… </w:t>
            </w:r>
            <w:r w:rsidRPr="00F91EA9">
              <w:rPr>
                <w:sz w:val="20"/>
              </w:rPr>
              <w:t xml:space="preserve">Անհրաժեշտ է լինելու զգալիորեն բարձրացնել կապիտալի և </w:t>
            </w:r>
            <w:r w:rsidRPr="00F91EA9">
              <w:rPr>
                <w:b/>
                <w:sz w:val="20"/>
              </w:rPr>
              <w:t>աշխատանքի արտադրողականությունը</w:t>
            </w:r>
            <w:r w:rsidRPr="00F91EA9">
              <w:rPr>
                <w:sz w:val="20"/>
              </w:rPr>
              <w:t xml:space="preserve">... </w:t>
            </w:r>
          </w:p>
          <w:p w14:paraId="68FF0A5B" w14:textId="064D0CF0" w:rsidR="008E3735" w:rsidRPr="00F91EA9" w:rsidRDefault="008E3735" w:rsidP="008E3735">
            <w:pPr>
              <w:pStyle w:val="ListParagraph"/>
              <w:numPr>
                <w:ilvl w:val="0"/>
                <w:numId w:val="16"/>
              </w:numPr>
              <w:spacing w:before="60" w:after="60" w:line="276" w:lineRule="auto"/>
              <w:ind w:left="318" w:hanging="284"/>
              <w:rPr>
                <w:sz w:val="20"/>
              </w:rPr>
            </w:pPr>
            <w:r w:rsidRPr="00F91EA9">
              <w:rPr>
                <w:sz w:val="20"/>
              </w:rPr>
              <w:t xml:space="preserve">Մինչև 2026 թվականը </w:t>
            </w:r>
            <w:r w:rsidR="00626396">
              <w:rPr>
                <w:sz w:val="20"/>
                <w:lang w:val="hy-AM"/>
              </w:rPr>
              <w:t>կ</w:t>
            </w:r>
            <w:r w:rsidR="00626396" w:rsidRPr="00F91EA9">
              <w:rPr>
                <w:sz w:val="20"/>
              </w:rPr>
              <w:t xml:space="preserve">առավարության </w:t>
            </w:r>
            <w:r w:rsidRPr="00F91EA9">
              <w:rPr>
                <w:sz w:val="20"/>
              </w:rPr>
              <w:t xml:space="preserve">տնտեսական թիրախներից է </w:t>
            </w:r>
            <w:r w:rsidRPr="00F91EA9">
              <w:rPr>
                <w:b/>
                <w:sz w:val="20"/>
              </w:rPr>
              <w:t xml:space="preserve">ֆորմալ հատվածի ոչ պետական ոլորտի աշխատավարձի և դրան հավասարեցված այլ վճարումների ֆոնդը </w:t>
            </w:r>
            <w:r w:rsidR="005C1060">
              <w:rPr>
                <w:b/>
                <w:sz w:val="20"/>
                <w:lang w:val="hy-AM"/>
              </w:rPr>
              <w:t xml:space="preserve">հասցնել </w:t>
            </w:r>
            <w:r w:rsidRPr="00F91EA9">
              <w:rPr>
                <w:b/>
                <w:sz w:val="20"/>
              </w:rPr>
              <w:t>ՀՆԱ-ի 25%</w:t>
            </w:r>
            <w:r w:rsidR="005C1060">
              <w:rPr>
                <w:b/>
                <w:sz w:val="20"/>
                <w:lang w:val="hy-AM"/>
              </w:rPr>
              <w:t>-ի</w:t>
            </w:r>
            <w:r w:rsidRPr="00F91EA9">
              <w:rPr>
                <w:sz w:val="20"/>
              </w:rPr>
              <w:t>:</w:t>
            </w:r>
          </w:p>
          <w:p w14:paraId="1B3D3FCB" w14:textId="479D66B7" w:rsidR="008E3735" w:rsidRPr="00F91EA9" w:rsidRDefault="008E3735" w:rsidP="008E3735">
            <w:pPr>
              <w:pStyle w:val="ListParagraph"/>
              <w:numPr>
                <w:ilvl w:val="0"/>
                <w:numId w:val="16"/>
              </w:numPr>
              <w:spacing w:before="60" w:after="60" w:line="276" w:lineRule="auto"/>
              <w:ind w:left="318" w:hanging="284"/>
              <w:rPr>
                <w:sz w:val="20"/>
              </w:rPr>
            </w:pPr>
            <w:r w:rsidRPr="00F91EA9">
              <w:rPr>
                <w:sz w:val="20"/>
              </w:rPr>
              <w:t xml:space="preserve">Կառավարությունը քայլեր է ձեռնարկելու </w:t>
            </w:r>
            <w:r w:rsidRPr="00F91EA9">
              <w:rPr>
                <w:b/>
                <w:sz w:val="20"/>
              </w:rPr>
              <w:t>մինչև 2026 թվականը նվազագույն աշխատավարձը սահմանել 85 000 դրամ</w:t>
            </w:r>
            <w:r w:rsidRPr="00F91EA9">
              <w:rPr>
                <w:sz w:val="20"/>
              </w:rPr>
              <w:t>:</w:t>
            </w:r>
          </w:p>
          <w:p w14:paraId="17C51675" w14:textId="77777777" w:rsidR="008E3735" w:rsidRPr="00F91EA9" w:rsidRDefault="008E3735" w:rsidP="008E3735">
            <w:pPr>
              <w:pStyle w:val="ListParagraph"/>
              <w:numPr>
                <w:ilvl w:val="0"/>
                <w:numId w:val="16"/>
              </w:numPr>
              <w:spacing w:before="60" w:after="60" w:line="276" w:lineRule="auto"/>
              <w:ind w:left="318" w:hanging="284"/>
              <w:rPr>
                <w:sz w:val="20"/>
              </w:rPr>
            </w:pPr>
            <w:r w:rsidRPr="00F91EA9">
              <w:rPr>
                <w:sz w:val="20"/>
              </w:rPr>
              <w:t xml:space="preserve">Կառավարությունը քայլեր է ձեռնարկելու </w:t>
            </w:r>
            <w:r w:rsidRPr="00F91EA9">
              <w:rPr>
                <w:b/>
                <w:sz w:val="20"/>
              </w:rPr>
              <w:t>մինչև 2026 թվականը նվազագույն կենսաթոշակի և կենսաթոշակի միջին չափերը հավասարեցնել, համապատասխանաբար` պարենային և սպառողական զամբյուղների արժեքներին</w:t>
            </w:r>
            <w:r w:rsidRPr="00F91EA9">
              <w:rPr>
                <w:sz w:val="20"/>
              </w:rPr>
              <w:t>:</w:t>
            </w:r>
          </w:p>
        </w:tc>
      </w:tr>
    </w:tbl>
    <w:p w14:paraId="05F20F1C" w14:textId="7C7A4482" w:rsidR="008E3735" w:rsidRDefault="008E3735" w:rsidP="008E3735">
      <w:pPr>
        <w:spacing w:before="240"/>
        <w:ind w:firstLine="602"/>
        <w:rPr>
          <w:lang w:val="hy-AM"/>
        </w:rPr>
      </w:pPr>
      <w:r>
        <w:rPr>
          <w:lang w:val="hy-AM"/>
        </w:rPr>
        <w:t>Բնակչության եկամուտների աճի վերաբերյալ, թեև կրկին ներկայացված չէ որևէ թվային թիրախ, նկատենք, որ եկամուտների աճը ՀՀ կառավարությունը տեսնում է տնտեսական աճի 7</w:t>
      </w:r>
      <w:r>
        <w:t>%</w:t>
      </w:r>
      <w:r>
        <w:rPr>
          <w:lang w:val="hy-AM"/>
        </w:rPr>
        <w:t xml:space="preserve"> ցուցանիշի ապահովման միջոցով: Տնտեսական աճի թիրախի անիրատեսականության վերաբերյալ բազմիցս խոսել ենք վերլուծության ընթացքում, ուստի կարելի է ենթադրել, որ </w:t>
      </w:r>
      <w:r w:rsidRPr="003C7B0A">
        <w:rPr>
          <w:b/>
          <w:lang w:val="hy-AM"/>
        </w:rPr>
        <w:t xml:space="preserve">տնտեսական աճի քաղաքականության ձախողման հետևանքով կրկին չի իրականացվելու բնակչության եկամուտների աճի </w:t>
      </w:r>
      <w:r>
        <w:rPr>
          <w:b/>
          <w:lang w:val="hy-AM"/>
        </w:rPr>
        <w:t xml:space="preserve">ապահովման </w:t>
      </w:r>
      <w:r w:rsidRPr="003C7B0A">
        <w:rPr>
          <w:b/>
          <w:lang w:val="hy-AM"/>
        </w:rPr>
        <w:t>խոստումը</w:t>
      </w:r>
      <w:r>
        <w:rPr>
          <w:lang w:val="hy-AM"/>
        </w:rPr>
        <w:t xml:space="preserve">: Ավելին, 2021թ. ընթացքում սպառողների վարքագծում նկատվող պահպանողական և զգուշավոր </w:t>
      </w:r>
      <w:r>
        <w:rPr>
          <w:lang w:val="hy-AM"/>
        </w:rPr>
        <w:lastRenderedPageBreak/>
        <w:t>վարքագիծը հուշում է, որ եկամուտների աճի ապահովման վերաբերյալ խոստումներն այլևս չեն ընդունվում նախկին լավատեսականությամբ և դժվար թե ՀՀ կառավարության փոխանցած դրական ազդակներն այժմ նույն չափով նպաստեն տնային տնտեսությունների վարքագծի վրա:</w:t>
      </w:r>
    </w:p>
    <w:p w14:paraId="323A6589" w14:textId="01460468" w:rsidR="008E3735" w:rsidRDefault="00FC3061" w:rsidP="008E3735">
      <w:pPr>
        <w:spacing w:before="240"/>
        <w:ind w:firstLine="602"/>
        <w:rPr>
          <w:lang w:val="hy-AM"/>
        </w:rPr>
      </w:pPr>
      <w:r>
        <w:rPr>
          <w:b/>
          <w:lang w:val="hy-AM"/>
        </w:rPr>
        <w:t>Ֆ</w:t>
      </w:r>
      <w:r w:rsidRPr="00FC3061">
        <w:rPr>
          <w:b/>
          <w:lang w:val="hy-AM"/>
        </w:rPr>
        <w:t>որմալ հատվածի ոչ պետական ոլորտի աշխատավարձի և դրան հավասարեցված այլ վճարումների ֆոնդ</w:t>
      </w:r>
      <w:r w:rsidR="007D6D91">
        <w:rPr>
          <w:b/>
          <w:lang w:val="hy-AM"/>
        </w:rPr>
        <w:t>ի կշիռը</w:t>
      </w:r>
      <w:r w:rsidRPr="00FC3061">
        <w:rPr>
          <w:b/>
          <w:lang w:val="hy-AM"/>
        </w:rPr>
        <w:t xml:space="preserve"> ՀՆԱ-</w:t>
      </w:r>
      <w:r w:rsidR="007D6D91">
        <w:rPr>
          <w:b/>
          <w:lang w:val="hy-AM"/>
        </w:rPr>
        <w:t>ում</w:t>
      </w:r>
      <w:r w:rsidRPr="00FC3061">
        <w:rPr>
          <w:b/>
          <w:lang w:val="hy-AM"/>
        </w:rPr>
        <w:t xml:space="preserve"> 25%-ի</w:t>
      </w:r>
      <w:r>
        <w:rPr>
          <w:b/>
          <w:lang w:val="hy-AM"/>
        </w:rPr>
        <w:t xml:space="preserve"> հասցնելու </w:t>
      </w:r>
      <w:r w:rsidR="008E3735" w:rsidRPr="00622E10">
        <w:rPr>
          <w:b/>
          <w:lang w:val="hy-AM"/>
        </w:rPr>
        <w:t>ծրագրային թիրախի վերաբերյալ հնարավոր չէ գնահատականներ հնչեցնել, քանի որ ընտրված ցուցանիշը պաշտոնապես չի հրապարակվում</w:t>
      </w:r>
      <w:r w:rsidR="000B442E">
        <w:rPr>
          <w:b/>
          <w:lang w:val="hy-AM"/>
        </w:rPr>
        <w:t>:</w:t>
      </w:r>
      <w:r w:rsidR="008E3735">
        <w:rPr>
          <w:lang w:val="hy-AM"/>
        </w:rPr>
        <w:t xml:space="preserve"> </w:t>
      </w:r>
    </w:p>
    <w:p w14:paraId="055613BD" w14:textId="578DDD4A" w:rsidR="008E3735" w:rsidRDefault="008E3735" w:rsidP="008E3735">
      <w:pPr>
        <w:spacing w:before="240"/>
        <w:ind w:firstLine="602"/>
        <w:rPr>
          <w:lang w:val="hy-AM"/>
        </w:rPr>
      </w:pPr>
      <w:r w:rsidRPr="00D13B5E">
        <w:rPr>
          <w:lang w:val="hy-AM"/>
        </w:rPr>
        <w:t>Մյուս կողմից</w:t>
      </w:r>
      <w:r>
        <w:rPr>
          <w:lang w:val="hy-AM"/>
        </w:rPr>
        <w:t>, որպես աշխատավարձերի բարձրացման միջոց ծրագրում հպանցիկ անդրադարձ է կատարվում աշխատանքի արտադրողականության ավելացման անհրաժեշտությանը, սակայն կրկին չի նշվում, թե ինչ մեխանիզմներով է ՀՀ կառավարությունը պատրաստվում խթանել աշխատուժի արտադրողականությունը</w:t>
      </w:r>
      <w:r w:rsidR="00012181">
        <w:rPr>
          <w:lang w:val="hy-AM"/>
        </w:rPr>
        <w:t>`</w:t>
      </w:r>
      <w:r>
        <w:rPr>
          <w:lang w:val="hy-AM"/>
        </w:rPr>
        <w:t xml:space="preserve"> այն դեպքում, երբ նախորդ տարիներին վերջինիս չի հաջողվել էական ձեռքբերումներ գրանցել այս մասով ևս: </w:t>
      </w:r>
    </w:p>
    <w:p w14:paraId="523FDA67" w14:textId="77777777" w:rsidR="008E3735" w:rsidRDefault="008E3735" w:rsidP="008E3735">
      <w:pPr>
        <w:spacing w:before="240"/>
        <w:ind w:firstLine="602"/>
        <w:rPr>
          <w:lang w:val="hy-AM"/>
        </w:rPr>
      </w:pPr>
      <w:r w:rsidRPr="004D7E89">
        <w:rPr>
          <w:b/>
          <w:lang w:val="hy-AM"/>
        </w:rPr>
        <w:t>Նվազագույն աշխատավարձը 85.000 դրամ սահմանելու խոստումն այնքան էլ անիրատեսական չէ</w:t>
      </w:r>
      <w:r>
        <w:rPr>
          <w:lang w:val="hy-AM"/>
        </w:rPr>
        <w:t>: Թեև նկատենք, որ սա</w:t>
      </w:r>
      <w:r w:rsidRPr="00A2155B">
        <w:rPr>
          <w:lang w:val="hy-AM"/>
        </w:rPr>
        <w:t xml:space="preserve"> առնչվելու է միայն մինչև</w:t>
      </w:r>
      <w:r>
        <w:rPr>
          <w:lang w:val="hy-AM"/>
        </w:rPr>
        <w:t xml:space="preserve"> նշված շեմն</w:t>
      </w:r>
      <w:r w:rsidRPr="00A2155B">
        <w:rPr>
          <w:lang w:val="hy-AM"/>
        </w:rPr>
        <w:t xml:space="preserve"> ամսական զուտ աշխատավարձ ստացող </w:t>
      </w:r>
      <w:r>
        <w:rPr>
          <w:lang w:val="hy-AM"/>
        </w:rPr>
        <w:t>վարձու</w:t>
      </w:r>
      <w:r w:rsidRPr="00A2155B">
        <w:rPr>
          <w:lang w:val="hy-AM"/>
        </w:rPr>
        <w:t xml:space="preserve"> աշխատողներին, որոնք այնքան էլ շատ չեն ֆորմալ զբաղվածների շրջանում</w:t>
      </w:r>
      <w:r>
        <w:rPr>
          <w:lang w:val="hy-AM"/>
        </w:rPr>
        <w:t>: Հետևաբար, միայն այս խոստումն ինքնին չի կարող նպաստել բնակչության կյանքի որակի էական առաջընթացի:</w:t>
      </w:r>
    </w:p>
    <w:p w14:paraId="76AA89B7" w14:textId="786F5751" w:rsidR="008E3735" w:rsidRDefault="008E3735" w:rsidP="008E3735">
      <w:pPr>
        <w:spacing w:before="240"/>
        <w:ind w:firstLine="602"/>
        <w:rPr>
          <w:lang w:val="hy-AM"/>
        </w:rPr>
      </w:pPr>
      <w:r w:rsidRPr="00DB459A">
        <w:rPr>
          <w:b/>
          <w:lang w:val="hy-AM"/>
        </w:rPr>
        <w:t xml:space="preserve">Ինչ վերաբերում է կենսաթոշակների չափերը ճշգրտելու խոստմանը, ապա նկատենք, որ վերջինս չափազանց հավակնոտ է:  </w:t>
      </w:r>
      <w:r>
        <w:rPr>
          <w:lang w:val="hy-AM"/>
        </w:rPr>
        <w:t>2021թ. հուլիսի 1-ի դրությամբ ն</w:t>
      </w:r>
      <w:r w:rsidRPr="00186240">
        <w:rPr>
          <w:lang w:val="hy-AM"/>
        </w:rPr>
        <w:t>վազագույն կենսաթոշակի չափը</w:t>
      </w:r>
      <w:r>
        <w:rPr>
          <w:lang w:val="hy-AM"/>
        </w:rPr>
        <w:t xml:space="preserve"> կազմել է</w:t>
      </w:r>
      <w:r w:rsidRPr="00186240">
        <w:rPr>
          <w:lang w:val="hy-AM"/>
        </w:rPr>
        <w:t xml:space="preserve"> 26,500 դրամ</w:t>
      </w:r>
      <w:r>
        <w:rPr>
          <w:lang w:val="hy-AM"/>
        </w:rPr>
        <w:t xml:space="preserve">, </w:t>
      </w:r>
      <w:r w:rsidRPr="00AA5168">
        <w:rPr>
          <w:lang w:val="hy-AM"/>
        </w:rPr>
        <w:t>կենսաթոշակի միջին չափը</w:t>
      </w:r>
      <w:r>
        <w:rPr>
          <w:lang w:val="hy-AM"/>
        </w:rPr>
        <w:t>` 43,</w:t>
      </w:r>
      <w:r w:rsidRPr="00AA5168">
        <w:rPr>
          <w:lang w:val="hy-AM"/>
        </w:rPr>
        <w:t>406 դրամ</w:t>
      </w:r>
      <w:r>
        <w:rPr>
          <w:lang w:val="hy-AM"/>
        </w:rPr>
        <w:t xml:space="preserve">, </w:t>
      </w:r>
      <w:r w:rsidRPr="00AA5168">
        <w:rPr>
          <w:lang w:val="hy-AM"/>
        </w:rPr>
        <w:t>պարենային զամբյուղի արժեքը</w:t>
      </w:r>
      <w:r>
        <w:rPr>
          <w:lang w:val="hy-AM"/>
        </w:rPr>
        <w:t>` 37,</w:t>
      </w:r>
      <w:r w:rsidRPr="00AA5168">
        <w:rPr>
          <w:lang w:val="hy-AM"/>
        </w:rPr>
        <w:t>861.9 դրամ</w:t>
      </w:r>
      <w:r>
        <w:rPr>
          <w:lang w:val="hy-AM"/>
        </w:rPr>
        <w:t xml:space="preserve">, </w:t>
      </w:r>
      <w:r w:rsidRPr="00AA5168">
        <w:rPr>
          <w:lang w:val="hy-AM"/>
        </w:rPr>
        <w:t>նվազագույն սպառողական զամբյուղի արժեքը</w:t>
      </w:r>
      <w:r>
        <w:rPr>
          <w:lang w:val="hy-AM"/>
        </w:rPr>
        <w:t>` 70,</w:t>
      </w:r>
      <w:r w:rsidRPr="00AA5168">
        <w:rPr>
          <w:lang w:val="hy-AM"/>
        </w:rPr>
        <w:t>044.6 դրամ</w:t>
      </w:r>
      <w:r w:rsidR="002439FF">
        <w:rPr>
          <w:rStyle w:val="FootnoteReference"/>
          <w:lang w:val="hy-AM"/>
        </w:rPr>
        <w:footnoteReference w:id="44"/>
      </w:r>
      <w:r>
        <w:rPr>
          <w:lang w:val="hy-AM"/>
        </w:rPr>
        <w:t xml:space="preserve">: </w:t>
      </w:r>
      <w:r w:rsidRPr="001A1414">
        <w:rPr>
          <w:b/>
          <w:lang w:val="hy-AM"/>
        </w:rPr>
        <w:t>Ստացվում է, որ խոստումն իրագործելու համար ՀՀ կառավարությունը պետք է նվազագույն կենսաթոշակը բարձրացնի առնվազն 43</w:t>
      </w:r>
      <w:r w:rsidRPr="00186240">
        <w:rPr>
          <w:b/>
          <w:lang w:val="hy-AM"/>
        </w:rPr>
        <w:t>%-</w:t>
      </w:r>
      <w:r w:rsidRPr="001A1414">
        <w:rPr>
          <w:b/>
          <w:lang w:val="hy-AM"/>
        </w:rPr>
        <w:t>ով, իսկ միջին կենսաթոշակը պետք է աճի շուրջ 61</w:t>
      </w:r>
      <w:r w:rsidRPr="00186240">
        <w:rPr>
          <w:b/>
          <w:lang w:val="hy-AM"/>
        </w:rPr>
        <w:t>%-</w:t>
      </w:r>
      <w:r w:rsidRPr="001A1414">
        <w:rPr>
          <w:b/>
          <w:lang w:val="hy-AM"/>
        </w:rPr>
        <w:t xml:space="preserve">ով: </w:t>
      </w:r>
      <w:r w:rsidRPr="006D4020">
        <w:rPr>
          <w:b/>
          <w:lang w:val="hy-AM"/>
        </w:rPr>
        <w:t>Այնինչ դժվար է պատկերացնել կենսաթոշակների նման կտրուկ աճ` հաշվի առնելով այն հանգամանքը, որ ՀՀ կառավարությունն առաջիկա տարիներին սահմանափակված է լինելու ընթացիկ պարտավորություններ ստանձնելու հարցում</w:t>
      </w:r>
      <w:r>
        <w:rPr>
          <w:lang w:val="hy-AM"/>
        </w:rPr>
        <w:t xml:space="preserve"> </w:t>
      </w:r>
      <w:r w:rsidRPr="00186240">
        <w:rPr>
          <w:lang w:val="hy-AM"/>
        </w:rPr>
        <w:t>(</w:t>
      </w:r>
      <w:r>
        <w:rPr>
          <w:lang w:val="hy-AM"/>
        </w:rPr>
        <w:t>կապված հարկաբյուջետային կայունության ապահովման շուրջ ձևավորված ռիսկերի հետ</w:t>
      </w:r>
      <w:r w:rsidRPr="00186240">
        <w:rPr>
          <w:lang w:val="hy-AM"/>
        </w:rPr>
        <w:t>)</w:t>
      </w:r>
      <w:r>
        <w:rPr>
          <w:lang w:val="hy-AM"/>
        </w:rPr>
        <w:t xml:space="preserve">: </w:t>
      </w:r>
    </w:p>
    <w:p w14:paraId="07722BB1" w14:textId="77777777" w:rsidR="008E3735" w:rsidRPr="00C662E6" w:rsidRDefault="008E3735" w:rsidP="008E3735">
      <w:pPr>
        <w:spacing w:before="120"/>
        <w:ind w:firstLine="602"/>
        <w:rPr>
          <w:lang w:val="hy-AM"/>
        </w:rPr>
      </w:pPr>
    </w:p>
    <w:bookmarkStart w:id="14" w:name="_Toc88138986"/>
    <w:p w14:paraId="03BE8AE6" w14:textId="268A94EC" w:rsidR="002B340E" w:rsidRPr="002C6907" w:rsidRDefault="00814364" w:rsidP="00F4691D">
      <w:pPr>
        <w:pStyle w:val="Heading1"/>
      </w:pPr>
      <w:r w:rsidRPr="00F81295">
        <w:rPr>
          <w:i/>
          <w:noProof/>
          <w:sz w:val="24"/>
          <w:lang w:val="en-US"/>
        </w:rPr>
        <w:lastRenderedPageBreak/>
        <mc:AlternateContent>
          <mc:Choice Requires="wps">
            <w:drawing>
              <wp:anchor distT="0" distB="0" distL="114300" distR="114300" simplePos="0" relativeHeight="251669504" behindDoc="1" locked="0" layoutInCell="1" allowOverlap="1" wp14:anchorId="2D7FF967" wp14:editId="0B3082E2">
                <wp:simplePos x="0" y="0"/>
                <wp:positionH relativeFrom="margin">
                  <wp:posOffset>-1927860</wp:posOffset>
                </wp:positionH>
                <wp:positionV relativeFrom="paragraph">
                  <wp:posOffset>-38100</wp:posOffset>
                </wp:positionV>
                <wp:extent cx="6267450" cy="320040"/>
                <wp:effectExtent l="0" t="0" r="0" b="3810"/>
                <wp:wrapNone/>
                <wp:docPr id="14" name="Прямоугольник 3"/>
                <wp:cNvGraphicFramePr/>
                <a:graphic xmlns:a="http://schemas.openxmlformats.org/drawingml/2006/main">
                  <a:graphicData uri="http://schemas.microsoft.com/office/word/2010/wordprocessingShape">
                    <wps:wsp>
                      <wps:cNvSpPr/>
                      <wps:spPr>
                        <a:xfrm>
                          <a:off x="0" y="0"/>
                          <a:ext cx="6267450" cy="320040"/>
                        </a:xfrm>
                        <a:prstGeom prst="rect">
                          <a:avLst/>
                        </a:prstGeom>
                        <a:solidFill>
                          <a:srgbClr val="00B3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28F29" id="Прямоугольник 3" o:spid="_x0000_s1026" style="position:absolute;margin-left:-151.8pt;margin-top:-3pt;width:493.5pt;height:25.2pt;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" fillcolor="#00b3c4" stroked="f" strokeweight="1pt">
                <w10:wrap anchorx="margin"/>
              </v:rect>
            </w:pict>
          </mc:Fallback>
        </mc:AlternateContent>
      </w:r>
      <w:r w:rsidR="002B340E" w:rsidRPr="002C6907">
        <w:t>4</w:t>
      </w:r>
      <w:r w:rsidR="002B340E" w:rsidRPr="00186240">
        <w:t xml:space="preserve">. </w:t>
      </w:r>
      <w:r w:rsidR="002B340E" w:rsidRPr="002C6907">
        <w:t>ՀԱՆՐԱՅԻՆ ՖԻՆԱՆՍՆԵՐԻ ԿԱՌԱՎԱՐՈՒՄԸ</w:t>
      </w:r>
      <w:bookmarkEnd w:id="14"/>
    </w:p>
    <w:p w14:paraId="3FE345B0" w14:textId="6BAF842D" w:rsidR="002B340E" w:rsidRDefault="002B340E" w:rsidP="002B340E">
      <w:pPr>
        <w:spacing w:before="120" w:after="120"/>
        <w:ind w:firstLine="602"/>
        <w:rPr>
          <w:lang w:val="hy-AM"/>
        </w:rPr>
      </w:pPr>
      <w:r>
        <w:rPr>
          <w:lang w:val="hy-AM"/>
        </w:rPr>
        <w:t xml:space="preserve">Վերլուծության այս բաժնում կքննարկենք հանրային ֆինանսների կառավարման բնագավառում ՀՀ կառավարության որդեգրած քաղաքականությունը: Կանդրադառնանք ինչպես պետական եկամուտների և ծախսերի, այնպես էլ հարկաբյուջետային և պարտքային կայունության ապահովման քաղաքականությանը: </w:t>
      </w:r>
    </w:p>
    <w:p w14:paraId="0CF54A41" w14:textId="1E8B7646" w:rsidR="002B340E" w:rsidRPr="006E5CE5" w:rsidRDefault="002B340E" w:rsidP="00A83257">
      <w:pPr>
        <w:pStyle w:val="Heading2"/>
      </w:pPr>
      <w:bookmarkStart w:id="15" w:name="_Toc88138987"/>
      <w:r w:rsidRPr="006E5CE5">
        <w:t>4.1</w:t>
      </w:r>
      <w:r w:rsidRPr="00186240">
        <w:t xml:space="preserve">. </w:t>
      </w:r>
      <w:r w:rsidRPr="006E5CE5">
        <w:t>Կառավարության եկամտային և ծախսային քաղաքականությունը</w:t>
      </w:r>
      <w:bookmarkEnd w:id="15"/>
    </w:p>
    <w:p w14:paraId="392E66DF" w14:textId="77777777" w:rsidR="002B340E" w:rsidRPr="006E5CE5" w:rsidRDefault="002B340E" w:rsidP="009127B0">
      <w:pPr>
        <w:pStyle w:val="Heading3"/>
        <w:rPr>
          <w:sz w:val="28"/>
          <w:lang w:val="hy-AM"/>
        </w:rPr>
      </w:pPr>
      <w:bookmarkStart w:id="16" w:name="_Toc88138988"/>
      <w:r w:rsidRPr="006E5CE5">
        <w:rPr>
          <w:lang w:val="hy-AM"/>
        </w:rPr>
        <w:t>4.</w:t>
      </w:r>
      <w:r>
        <w:rPr>
          <w:lang w:val="hy-AM"/>
        </w:rPr>
        <w:t>1</w:t>
      </w:r>
      <w:r w:rsidRPr="006E5CE5">
        <w:rPr>
          <w:lang w:val="hy-AM"/>
        </w:rPr>
        <w:t>.1. Եկամտային քաղաքականությունը</w:t>
      </w:r>
      <w:bookmarkEnd w:id="16"/>
    </w:p>
    <w:p w14:paraId="442D48E3" w14:textId="788BCD98" w:rsidR="002B340E" w:rsidRDefault="002B340E" w:rsidP="002B340E">
      <w:pPr>
        <w:spacing w:before="240"/>
        <w:ind w:firstLine="602"/>
        <w:rPr>
          <w:lang w:val="hy-AM"/>
        </w:rPr>
      </w:pPr>
      <w:r>
        <w:rPr>
          <w:lang w:val="hy-AM"/>
        </w:rPr>
        <w:t>Պետական բյուջեի եկամուտները, համաձայն «Պետական բյուջեի մասին» ՀՀ օրենքի` ըստ ձևավորման աղբյուրների ներկայացվում են հետևյալ երեք հիմնական հոդվածներով` ա</w:t>
      </w:r>
      <w:r w:rsidRPr="00186240">
        <w:rPr>
          <w:lang w:val="hy-AM"/>
        </w:rPr>
        <w:t>)</w:t>
      </w:r>
      <w:r>
        <w:rPr>
          <w:lang w:val="hy-AM"/>
        </w:rPr>
        <w:t xml:space="preserve"> հարկային եկամուտներ </w:t>
      </w:r>
      <w:r w:rsidR="00012181" w:rsidRPr="008D325C">
        <w:rPr>
          <w:lang w:val="hy-AM"/>
        </w:rPr>
        <w:t>(</w:t>
      </w:r>
      <w:r>
        <w:rPr>
          <w:lang w:val="hy-AM"/>
        </w:rPr>
        <w:t>ներառյալ պետական տուրքերը</w:t>
      </w:r>
      <w:r w:rsidR="00012181" w:rsidRPr="008D325C">
        <w:rPr>
          <w:lang w:val="hy-AM"/>
        </w:rPr>
        <w:t>)</w:t>
      </w:r>
      <w:r>
        <w:rPr>
          <w:lang w:val="hy-AM"/>
        </w:rPr>
        <w:t>,</w:t>
      </w:r>
      <w:r w:rsidR="00012181" w:rsidRPr="008D325C">
        <w:rPr>
          <w:lang w:val="hy-AM"/>
        </w:rPr>
        <w:t xml:space="preserve">           </w:t>
      </w:r>
      <w:r>
        <w:rPr>
          <w:lang w:val="hy-AM"/>
        </w:rPr>
        <w:t xml:space="preserve"> բ</w:t>
      </w:r>
      <w:r w:rsidRPr="00186240">
        <w:rPr>
          <w:lang w:val="hy-AM"/>
        </w:rPr>
        <w:t>)</w:t>
      </w:r>
      <w:r>
        <w:rPr>
          <w:lang w:val="hy-AM"/>
        </w:rPr>
        <w:t xml:space="preserve"> պաշտոնական դրամաշնորհներ, գ</w:t>
      </w:r>
      <w:r w:rsidRPr="00186240">
        <w:rPr>
          <w:lang w:val="hy-AM"/>
        </w:rPr>
        <w:t>)</w:t>
      </w:r>
      <w:r>
        <w:rPr>
          <w:lang w:val="hy-AM"/>
        </w:rPr>
        <w:t xml:space="preserve"> այլ եկամուտներ: </w:t>
      </w:r>
    </w:p>
    <w:p w14:paraId="1851F812" w14:textId="77777777" w:rsidR="002B340E" w:rsidRPr="000600E6" w:rsidRDefault="002B340E" w:rsidP="000600E6">
      <w:pPr>
        <w:spacing w:before="240"/>
        <w:ind w:firstLine="0"/>
        <w:rPr>
          <w:color w:val="00B0F0"/>
          <w:lang w:val="hy-AM"/>
        </w:rPr>
      </w:pPr>
      <w:r w:rsidRPr="000600E6">
        <w:rPr>
          <w:color w:val="00B0F0"/>
          <w:lang w:val="hy-AM"/>
        </w:rPr>
        <w:t>Հարկային եկամուտներ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2B340E" w:rsidRPr="00D00797" w14:paraId="5134FE45" w14:textId="77777777" w:rsidTr="00FC2CE7">
        <w:tc>
          <w:tcPr>
            <w:tcW w:w="9062" w:type="dxa"/>
            <w:shd w:val="clear" w:color="auto" w:fill="EDEDED" w:themeFill="accent3" w:themeFillTint="33"/>
          </w:tcPr>
          <w:p w14:paraId="1BA68895" w14:textId="77777777" w:rsidR="002B340E" w:rsidRPr="0066012D" w:rsidRDefault="002B340E" w:rsidP="00FC2CE7">
            <w:pPr>
              <w:spacing w:before="60" w:after="60" w:line="276" w:lineRule="auto"/>
              <w:jc w:val="center"/>
              <w:rPr>
                <w:color w:val="002060"/>
                <w:lang w:val="hy-AM"/>
              </w:rPr>
            </w:pPr>
            <w:r w:rsidRPr="0066012D">
              <w:rPr>
                <w:color w:val="00B0F0"/>
                <w:sz w:val="22"/>
                <w:lang w:val="hy-AM"/>
              </w:rPr>
              <w:t>ՀՀ կառավարության 2019թ. ծրագիր</w:t>
            </w:r>
          </w:p>
          <w:p w14:paraId="5ED27EE3" w14:textId="77777777" w:rsidR="002B340E" w:rsidRPr="000A753A" w:rsidRDefault="002B340E" w:rsidP="002B340E">
            <w:pPr>
              <w:pStyle w:val="ListParagraph"/>
              <w:numPr>
                <w:ilvl w:val="0"/>
                <w:numId w:val="22"/>
              </w:numPr>
              <w:spacing w:before="60" w:after="60" w:line="276" w:lineRule="auto"/>
              <w:ind w:left="313" w:hanging="284"/>
              <w:rPr>
                <w:sz w:val="20"/>
                <w:lang w:val="hy-AM"/>
              </w:rPr>
            </w:pPr>
            <w:r w:rsidRPr="000A753A">
              <w:rPr>
                <w:sz w:val="20"/>
                <w:lang w:val="hy-AM"/>
              </w:rPr>
              <w:t>Ստվերային տնտեսության կրճատմանն ու մրցունակ բիզնես միջավայրի ձևավորմանն ուղղված հարկային քաղաքականություն: Պետության կողմից իրականացվող հարկային քաղաքականությունը պետք է ուղղվի տնտեսության ներդրումային գրավչության բարձրացմանն ու տնտեսական ակտիվության մակարդակի բարելավմանը` դրանով իսկ ստեղծելով կայուն նախադրյալներ` արտահանման և երկարաժամկետ տնտեսական աճի, հանրային բարիքի վերաբաշխման և հարկաբյուջետային կայունության ամրապնդման համար:</w:t>
            </w:r>
          </w:p>
          <w:p w14:paraId="4C5AC499" w14:textId="77777777" w:rsidR="002B340E" w:rsidRPr="00186240" w:rsidRDefault="002B340E" w:rsidP="002B340E">
            <w:pPr>
              <w:pStyle w:val="ListParagraph"/>
              <w:numPr>
                <w:ilvl w:val="0"/>
                <w:numId w:val="22"/>
              </w:numPr>
              <w:spacing w:before="60" w:after="60" w:line="276" w:lineRule="auto"/>
              <w:ind w:left="313" w:hanging="266"/>
              <w:rPr>
                <w:lang w:val="hy-AM"/>
              </w:rPr>
            </w:pPr>
            <w:r w:rsidRPr="0094477C">
              <w:rPr>
                <w:sz w:val="20"/>
                <w:lang w:val="hy-AM"/>
              </w:rPr>
              <w:t xml:space="preserve">Կառավարությունը հարկային վարչարարության արդյունավետության բարձրացման և ստվերային տնտեսության կրճատման ճանապարհով նախատեսում է </w:t>
            </w:r>
            <w:r w:rsidRPr="0094477C">
              <w:rPr>
                <w:b/>
                <w:sz w:val="20"/>
                <w:lang w:val="hy-AM"/>
              </w:rPr>
              <w:t>ապահովել հարկեր/ՀՆԱ ցուցանիշի շարունակական աճ առավելագույն հնարավորի սահմաններում</w:t>
            </w:r>
            <w:r w:rsidRPr="0094477C">
              <w:rPr>
                <w:sz w:val="20"/>
                <w:lang w:val="hy-AM"/>
              </w:rPr>
              <w:t>:</w:t>
            </w:r>
          </w:p>
        </w:tc>
      </w:tr>
    </w:tbl>
    <w:p w14:paraId="790B6AFD" w14:textId="7ABFB5D9" w:rsidR="002B340E" w:rsidRDefault="002B340E" w:rsidP="002B340E">
      <w:pPr>
        <w:spacing w:before="240"/>
        <w:ind w:firstLine="602"/>
        <w:rPr>
          <w:lang w:val="hy-AM"/>
        </w:rPr>
      </w:pPr>
      <w:r>
        <w:rPr>
          <w:lang w:val="hy-AM"/>
        </w:rPr>
        <w:t xml:space="preserve">Թե որքանով է հարկային քաղաքականության միջոցով հաջողվել ապահովել մրցունակ բիզնես միջավայր, բարձրացնել երկրի ներդրումային գրավչությունը, բարելավել տնտեսական ակտիվությունը կամ ստեղծել արտահանման և երկարաժամկետ տնտեսական աճի կայուն նախադրյալներ` փաստերը խոսում են </w:t>
      </w:r>
      <w:r w:rsidR="00A03D0E" w:rsidRPr="008D325C">
        <w:rPr>
          <w:lang w:val="hy-AM"/>
        </w:rPr>
        <w:t>դրանց</w:t>
      </w:r>
      <w:r w:rsidR="00A03D0E">
        <w:rPr>
          <w:lang w:val="hy-AM"/>
        </w:rPr>
        <w:t xml:space="preserve"> </w:t>
      </w:r>
      <w:r>
        <w:rPr>
          <w:lang w:val="hy-AM"/>
        </w:rPr>
        <w:t xml:space="preserve">մասին, </w:t>
      </w:r>
      <w:r w:rsidR="00A03D0E" w:rsidRPr="008D325C">
        <w:rPr>
          <w:lang w:val="hy-AM"/>
        </w:rPr>
        <w:t>որոնց</w:t>
      </w:r>
      <w:r w:rsidR="00A03D0E">
        <w:rPr>
          <w:lang w:val="hy-AM"/>
        </w:rPr>
        <w:t xml:space="preserve"> </w:t>
      </w:r>
      <w:r>
        <w:rPr>
          <w:lang w:val="hy-AM"/>
        </w:rPr>
        <w:t xml:space="preserve">արդեն իսկ անդրադարձել ենք </w:t>
      </w:r>
      <w:r w:rsidR="00597AA5">
        <w:rPr>
          <w:lang w:val="hy-AM"/>
        </w:rPr>
        <w:t xml:space="preserve">սույն </w:t>
      </w:r>
      <w:r>
        <w:rPr>
          <w:lang w:val="hy-AM"/>
        </w:rPr>
        <w:t xml:space="preserve">վերլուծության </w:t>
      </w:r>
      <w:r w:rsidR="00597AA5">
        <w:rPr>
          <w:lang w:val="hy-AM"/>
        </w:rPr>
        <w:t>ընթացքում</w:t>
      </w:r>
      <w:r>
        <w:rPr>
          <w:lang w:val="hy-AM"/>
        </w:rPr>
        <w:t xml:space="preserve">: </w:t>
      </w:r>
      <w:r w:rsidRPr="00E8576C">
        <w:rPr>
          <w:b/>
          <w:lang w:val="hy-AM"/>
        </w:rPr>
        <w:t xml:space="preserve">Ուստի պարզապես արձանագրենք, որ ՀՀ կառավարությանը չի հաջողվել հարկային քաղաքականության միջոցով հասնել </w:t>
      </w:r>
      <w:r>
        <w:rPr>
          <w:b/>
          <w:lang w:val="hy-AM"/>
        </w:rPr>
        <w:t xml:space="preserve">տնտեսական զարգացման </w:t>
      </w:r>
      <w:r w:rsidRPr="00E8576C">
        <w:rPr>
          <w:b/>
          <w:lang w:val="hy-AM"/>
        </w:rPr>
        <w:t xml:space="preserve">դրական </w:t>
      </w:r>
      <w:r>
        <w:rPr>
          <w:b/>
          <w:lang w:val="hy-AM"/>
        </w:rPr>
        <w:t>առաջընթացի</w:t>
      </w:r>
      <w:r w:rsidRPr="00E8576C">
        <w:rPr>
          <w:b/>
          <w:lang w:val="hy-AM"/>
        </w:rPr>
        <w:t>:</w:t>
      </w:r>
      <w:r>
        <w:rPr>
          <w:lang w:val="hy-AM"/>
        </w:rPr>
        <w:t xml:space="preserve"> </w:t>
      </w:r>
    </w:p>
    <w:p w14:paraId="46146884" w14:textId="77777777" w:rsidR="002B340E" w:rsidRPr="00064A36" w:rsidRDefault="002B340E" w:rsidP="002B340E">
      <w:pPr>
        <w:spacing w:before="240"/>
        <w:ind w:firstLine="602"/>
        <w:rPr>
          <w:b/>
          <w:lang w:val="hy-AM"/>
        </w:rPr>
      </w:pPr>
      <w:r w:rsidRPr="00064A36">
        <w:rPr>
          <w:b/>
          <w:lang w:val="hy-AM"/>
        </w:rPr>
        <w:t xml:space="preserve">Ավելին, 2019-2020թթ. ընթացքում ՀՀ կառավարության նախաձեռնած որոշ խոշոր </w:t>
      </w:r>
      <w:r>
        <w:rPr>
          <w:b/>
          <w:lang w:val="hy-AM"/>
        </w:rPr>
        <w:t xml:space="preserve">հարկային </w:t>
      </w:r>
      <w:r w:rsidRPr="00064A36">
        <w:rPr>
          <w:b/>
          <w:lang w:val="hy-AM"/>
        </w:rPr>
        <w:t>փոփոխությունների արդյունքում</w:t>
      </w:r>
      <w:r>
        <w:rPr>
          <w:b/>
          <w:lang w:val="hy-AM"/>
        </w:rPr>
        <w:t xml:space="preserve"> ՀՀ-ում</w:t>
      </w:r>
      <w:r w:rsidRPr="00064A36">
        <w:rPr>
          <w:b/>
          <w:lang w:val="hy-AM"/>
        </w:rPr>
        <w:t xml:space="preserve"> զգալիորեն </w:t>
      </w:r>
      <w:r w:rsidRPr="00064A36">
        <w:rPr>
          <w:b/>
          <w:lang w:val="hy-AM"/>
        </w:rPr>
        <w:lastRenderedPageBreak/>
        <w:t xml:space="preserve">խորացել </w:t>
      </w:r>
      <w:r>
        <w:rPr>
          <w:b/>
          <w:lang w:val="hy-AM"/>
        </w:rPr>
        <w:t xml:space="preserve">են </w:t>
      </w:r>
      <w:r w:rsidRPr="00064A36">
        <w:rPr>
          <w:b/>
          <w:lang w:val="hy-AM"/>
        </w:rPr>
        <w:t xml:space="preserve">սոցիալական </w:t>
      </w:r>
      <w:r>
        <w:rPr>
          <w:b/>
          <w:lang w:val="hy-AM"/>
        </w:rPr>
        <w:t>խնդիրները</w:t>
      </w:r>
      <w:r w:rsidRPr="00064A36">
        <w:rPr>
          <w:b/>
          <w:lang w:val="hy-AM"/>
        </w:rPr>
        <w:t xml:space="preserve">: </w:t>
      </w:r>
      <w:r w:rsidRPr="00CF310A">
        <w:rPr>
          <w:lang w:val="hy-AM"/>
        </w:rPr>
        <w:t>Դրանք հիմնականում վերաբերում են եկամտային հարկի և գույքահարկի մասով կատարված փոփոխություններին:</w:t>
      </w:r>
    </w:p>
    <w:p w14:paraId="17FA6C7E" w14:textId="27B04EE1" w:rsidR="002B340E" w:rsidRDefault="002B340E" w:rsidP="002B340E">
      <w:pPr>
        <w:spacing w:before="240"/>
        <w:ind w:firstLine="602"/>
        <w:rPr>
          <w:lang w:val="hy-AM"/>
        </w:rPr>
      </w:pPr>
      <w:r w:rsidRPr="00C86C8B">
        <w:rPr>
          <w:b/>
          <w:lang w:val="hy-AM"/>
        </w:rPr>
        <w:t xml:space="preserve">ՀՀ կառավարության նախաձեռնությամբ </w:t>
      </w:r>
      <w:r>
        <w:rPr>
          <w:b/>
          <w:lang w:val="hy-AM"/>
        </w:rPr>
        <w:t>2020թ. հունվար</w:t>
      </w:r>
      <w:r w:rsidR="00A03D0E" w:rsidRPr="008D325C">
        <w:rPr>
          <w:b/>
          <w:lang w:val="hy-AM"/>
        </w:rPr>
        <w:t>ի</w:t>
      </w:r>
      <w:r>
        <w:rPr>
          <w:b/>
          <w:lang w:val="hy-AM"/>
        </w:rPr>
        <w:t xml:space="preserve"> 1-ից </w:t>
      </w:r>
      <w:r w:rsidRPr="00C86C8B">
        <w:rPr>
          <w:b/>
          <w:lang w:val="hy-AM"/>
        </w:rPr>
        <w:t xml:space="preserve">անցում է կատարվել եկամտային հարկի միասնական </w:t>
      </w:r>
      <w:r w:rsidRPr="00186240">
        <w:rPr>
          <w:b/>
          <w:lang w:val="hy-AM"/>
        </w:rPr>
        <w:t>(</w:t>
      </w:r>
      <w:r w:rsidRPr="00C86C8B">
        <w:rPr>
          <w:b/>
          <w:lang w:val="hy-AM"/>
        </w:rPr>
        <w:t>համահարթ</w:t>
      </w:r>
      <w:r w:rsidRPr="00186240">
        <w:rPr>
          <w:b/>
          <w:lang w:val="hy-AM"/>
        </w:rPr>
        <w:t>)</w:t>
      </w:r>
      <w:r w:rsidRPr="00C86C8B">
        <w:rPr>
          <w:b/>
          <w:lang w:val="hy-AM"/>
        </w:rPr>
        <w:t xml:space="preserve"> դրույքաչափի, ինչի արդյունքում խորացել և առաջիկա տարիներին կշարունակի խորանալ հասարակության տարբեր շերտերի եկամուտների անհավասարությունը</w:t>
      </w:r>
      <w:r w:rsidRPr="00C86C8B">
        <w:rPr>
          <w:rStyle w:val="FootnoteReference"/>
          <w:b/>
          <w:lang w:val="hy-AM"/>
        </w:rPr>
        <w:footnoteReference w:id="45"/>
      </w:r>
      <w:r w:rsidRPr="00C86C8B">
        <w:rPr>
          <w:b/>
          <w:lang w:val="hy-AM"/>
        </w:rPr>
        <w:t>:</w:t>
      </w:r>
      <w:r>
        <w:rPr>
          <w:b/>
          <w:lang w:val="hy-AM"/>
        </w:rPr>
        <w:t xml:space="preserve"> </w:t>
      </w:r>
      <w:r>
        <w:rPr>
          <w:lang w:val="hy-AM"/>
        </w:rPr>
        <w:t>Օրենսդրական փոփոխությունների արդյունքում, մի կողմից</w:t>
      </w:r>
      <w:r w:rsidR="00A03D0E" w:rsidRPr="008D325C">
        <w:rPr>
          <w:lang w:val="hy-AM"/>
        </w:rPr>
        <w:t>՝</w:t>
      </w:r>
      <w:r w:rsidRPr="00C86C8B">
        <w:rPr>
          <w:lang w:val="hy-AM"/>
        </w:rPr>
        <w:t xml:space="preserve"> </w:t>
      </w:r>
      <w:r>
        <w:rPr>
          <w:lang w:val="hy-AM"/>
        </w:rPr>
        <w:t xml:space="preserve">աճել է բարձր եկամուտ ստացողների փաստացի տնօրինվող եկամուտը </w:t>
      </w:r>
      <w:r w:rsidRPr="00186240">
        <w:rPr>
          <w:lang w:val="hy-AM"/>
        </w:rPr>
        <w:t>(</w:t>
      </w:r>
      <w:r>
        <w:rPr>
          <w:lang w:val="hy-AM"/>
        </w:rPr>
        <w:t>քանի որ ավելի շատ եկամուտ ստացողները սկսել են վճարել ավելի քիչ եկամտային հարկ</w:t>
      </w:r>
      <w:r w:rsidRPr="00186240">
        <w:rPr>
          <w:lang w:val="hy-AM"/>
        </w:rPr>
        <w:t>)</w:t>
      </w:r>
      <w:r>
        <w:rPr>
          <w:lang w:val="hy-AM"/>
        </w:rPr>
        <w:t>, մյուս կողմից</w:t>
      </w:r>
      <w:r w:rsidR="00A03D0E" w:rsidRPr="008D325C">
        <w:rPr>
          <w:lang w:val="hy-AM"/>
        </w:rPr>
        <w:t>՝</w:t>
      </w:r>
      <w:r>
        <w:rPr>
          <w:lang w:val="hy-AM"/>
        </w:rPr>
        <w:t xml:space="preserve"> ավելի քիչ եկամուտ ստացողների համար էական փոփոխություններ չեն գրանցվել, ինչի հետևանքով </w:t>
      </w:r>
      <w:r w:rsidRPr="00F003AB">
        <w:rPr>
          <w:b/>
          <w:lang w:val="hy-AM"/>
        </w:rPr>
        <w:t>խորացել է եկամուտների անհավասարության ճեղքվածքը հարուստ և աղքատ խավերի միջև</w:t>
      </w:r>
      <w:r>
        <w:rPr>
          <w:lang w:val="hy-AM"/>
        </w:rPr>
        <w:t>:</w:t>
      </w:r>
      <w:r w:rsidR="007020E3">
        <w:rPr>
          <w:lang w:val="hy-AM"/>
        </w:rPr>
        <w:t xml:space="preserve"> Ընդ որում, եկամտային հարկի համահարթեցումը</w:t>
      </w:r>
      <w:r w:rsidR="009F0765">
        <w:rPr>
          <w:lang w:val="hy-AM"/>
        </w:rPr>
        <w:t xml:space="preserve"> չի հանգեցրել </w:t>
      </w:r>
      <w:r w:rsidR="004F7C29">
        <w:rPr>
          <w:lang w:val="hy-AM"/>
        </w:rPr>
        <w:t xml:space="preserve">նաև </w:t>
      </w:r>
      <w:r w:rsidR="009F0765">
        <w:rPr>
          <w:lang w:val="hy-AM"/>
        </w:rPr>
        <w:t xml:space="preserve">վարձու աշխատողների հարկային բեռի թեթևացմանը, քանի որ </w:t>
      </w:r>
      <w:r w:rsidR="008E15F2">
        <w:rPr>
          <w:lang w:val="hy-AM"/>
        </w:rPr>
        <w:t>զուգահեռաբար ավելացվել են</w:t>
      </w:r>
      <w:r w:rsidR="009F0765">
        <w:rPr>
          <w:lang w:val="hy-AM"/>
        </w:rPr>
        <w:t xml:space="preserve"> կուտակային կենսաթոշակային </w:t>
      </w:r>
      <w:r w:rsidR="008E15F2">
        <w:rPr>
          <w:lang w:val="hy-AM"/>
        </w:rPr>
        <w:t>վճարները</w:t>
      </w:r>
      <w:r w:rsidR="009F0765">
        <w:rPr>
          <w:lang w:val="hy-AM"/>
        </w:rPr>
        <w:t>:</w:t>
      </w:r>
      <w:r w:rsidR="008E15F2">
        <w:rPr>
          <w:lang w:val="hy-AM"/>
        </w:rPr>
        <w:t xml:space="preserve"> Մյուս կողմից` Արցախյան պատերազմի հետևանքով մարդկային ռեսուրսի զգալի կորստի արդյունքում </w:t>
      </w:r>
      <w:r w:rsidR="00B30B73">
        <w:rPr>
          <w:lang w:val="hy-AM"/>
        </w:rPr>
        <w:t>բարձրացվել</w:t>
      </w:r>
      <w:r w:rsidR="008E15F2">
        <w:rPr>
          <w:lang w:val="hy-AM"/>
        </w:rPr>
        <w:t xml:space="preserve"> են դրոշմանիշային վճարները, ինչ</w:t>
      </w:r>
      <w:r w:rsidR="003F6843">
        <w:rPr>
          <w:lang w:val="hy-AM"/>
        </w:rPr>
        <w:t>ն իր հերթին</w:t>
      </w:r>
      <w:r w:rsidR="008E15F2">
        <w:rPr>
          <w:lang w:val="hy-AM"/>
        </w:rPr>
        <w:t xml:space="preserve"> </w:t>
      </w:r>
      <w:r w:rsidR="003F6843">
        <w:rPr>
          <w:lang w:val="hy-AM"/>
        </w:rPr>
        <w:t>նպաստել է</w:t>
      </w:r>
      <w:r w:rsidR="008E15F2">
        <w:rPr>
          <w:lang w:val="hy-AM"/>
        </w:rPr>
        <w:t xml:space="preserve"> վարձու աշխատողների հարկային բեռ</w:t>
      </w:r>
      <w:r w:rsidR="003F6843">
        <w:rPr>
          <w:lang w:val="hy-AM"/>
        </w:rPr>
        <w:t>ի ավելացման</w:t>
      </w:r>
      <w:r w:rsidR="00A03D0E" w:rsidRPr="008D325C">
        <w:rPr>
          <w:lang w:val="hy-AM"/>
        </w:rPr>
        <w:t>ը</w:t>
      </w:r>
      <w:r w:rsidR="008E15F2">
        <w:rPr>
          <w:lang w:val="hy-AM"/>
        </w:rPr>
        <w:t>:</w:t>
      </w:r>
    </w:p>
    <w:p w14:paraId="7D20DDC2" w14:textId="651EDDE8" w:rsidR="002B340E" w:rsidRDefault="002B340E" w:rsidP="002B340E">
      <w:pPr>
        <w:spacing w:before="240"/>
        <w:ind w:firstLine="602"/>
        <w:rPr>
          <w:lang w:val="hy-AM"/>
        </w:rPr>
      </w:pPr>
      <w:r w:rsidRPr="00A54256">
        <w:rPr>
          <w:b/>
          <w:lang w:val="hy-AM"/>
        </w:rPr>
        <w:t>Գույքահարկի մասով ՀՀ կառավարության նախաձեռնած փոփոխությունները ևս չեն հանգեցրել որևէ էական առաջընթացի, ավելին` չի լուծվել «հարկային բեռը դեպի վճարունակ հարկատուներ տեղափոխելու» ՀՀ կառավարության խոստումը</w:t>
      </w:r>
      <w:r>
        <w:rPr>
          <w:rStyle w:val="FootnoteReference"/>
          <w:b/>
          <w:lang w:val="hy-AM"/>
        </w:rPr>
        <w:footnoteReference w:id="46"/>
      </w:r>
      <w:r w:rsidRPr="00A54256">
        <w:rPr>
          <w:b/>
          <w:lang w:val="hy-AM"/>
        </w:rPr>
        <w:t xml:space="preserve">:  </w:t>
      </w:r>
      <w:r>
        <w:rPr>
          <w:lang w:val="hy-AM"/>
        </w:rPr>
        <w:t xml:space="preserve">Մասնավորապես, օրենսդրական փոփոխությունների արդյունքում գույքահարկի չափը բարձրացվել և տարածվում է հասարակության բոլոր շերտերի վրա` անկախ գույքի բարձր կամ ցածր արժեք ունենալու հանգամանքից: Սա իր հերթին մտահոգիչ է նաև այն առումով, որ ՀՀ բնակչության եկամուտներն առանց այդ էլ վերջին շրջանում գրանցում են անկումային արդյունքներ, իսկ լրացուցիչ հարկային բեռնվածությունը կարող է </w:t>
      </w:r>
      <w:r>
        <w:rPr>
          <w:lang w:val="hy-AM"/>
        </w:rPr>
        <w:lastRenderedPageBreak/>
        <w:t>հանգեցնել սոցիալական լարվածության և բնակչության կենսամակարդակի նվազման:</w:t>
      </w:r>
    </w:p>
    <w:p w14:paraId="70E86052" w14:textId="579AC3FF" w:rsidR="002B340E" w:rsidRDefault="002B340E" w:rsidP="002B340E">
      <w:pPr>
        <w:spacing w:before="240"/>
        <w:ind w:firstLine="602"/>
        <w:rPr>
          <w:lang w:val="hy-AM"/>
        </w:rPr>
      </w:pPr>
      <w:r w:rsidRPr="00E545E2">
        <w:rPr>
          <w:b/>
          <w:lang w:val="hy-AM"/>
        </w:rPr>
        <w:t>Ինչ վերաբերում է հարկեր/ՀՆԱ հարաբերակցության շարունակական աճի ապահովման խոստմանը, ապա պետք է արձանագրե</w:t>
      </w:r>
      <w:r w:rsidR="00872540" w:rsidRPr="008D325C">
        <w:rPr>
          <w:b/>
          <w:lang w:val="hy-AM"/>
        </w:rPr>
        <w:t>լ</w:t>
      </w:r>
      <w:r w:rsidRPr="00E545E2">
        <w:rPr>
          <w:b/>
          <w:lang w:val="hy-AM"/>
        </w:rPr>
        <w:t xml:space="preserve">, որ ցուցանիշի բարելավումը 2018-2019թթ. չի ունեցել երկարաժամկետ տնտեսական աճի խթանման համար անհրաժեշտ որակ, իսկ 2020-ին եղել է հարկային մուտքերի համեմատ ՀՆԱ-ի ավելի խոր անկման արդյունք: </w:t>
      </w:r>
      <w:r w:rsidRPr="0048686D">
        <w:rPr>
          <w:lang w:val="hy-AM"/>
        </w:rPr>
        <w:t>Ընդ որում,</w:t>
      </w:r>
      <w:r>
        <w:rPr>
          <w:b/>
          <w:lang w:val="hy-AM"/>
        </w:rPr>
        <w:t xml:space="preserve"> </w:t>
      </w:r>
      <w:r>
        <w:rPr>
          <w:lang w:val="hy-AM"/>
        </w:rPr>
        <w:t>2018 թվականին հարկեր/ՀՆԱ ցուցանիշը նախորդ տարվա համեմատ բարելավվել է ընդամենը 0.1 տոկոսային կետով, իսկ 2019 թվականին 2018-ի համեմատ աճը կազմել է 1.5 տոկոսային կետ և կազմել 22.4</w:t>
      </w:r>
      <w:r w:rsidRPr="00186240">
        <w:rPr>
          <w:lang w:val="hy-AM"/>
        </w:rPr>
        <w:t>%</w:t>
      </w:r>
      <w:r>
        <w:rPr>
          <w:lang w:val="hy-AM"/>
        </w:rPr>
        <w:t xml:space="preserve">: Վերջինս մեծամասամբ բացատրվում է մեկանգամյա գործոններով </w:t>
      </w:r>
      <w:r w:rsidRPr="00186240">
        <w:rPr>
          <w:lang w:val="hy-AM"/>
        </w:rPr>
        <w:t>(</w:t>
      </w:r>
      <w:r>
        <w:rPr>
          <w:lang w:val="hy-AM"/>
        </w:rPr>
        <w:t>օրինակ` ավտոմեքենաների ներմուծուման ծավալների կտրուկ աճի արդյունքում դրանցից գանձվող հարկային եկամուտների աճով և ստվերային տնտեսության որոշակի կրճատմամբ</w:t>
      </w:r>
      <w:r w:rsidRPr="00186240">
        <w:rPr>
          <w:lang w:val="hy-AM"/>
        </w:rPr>
        <w:t>)</w:t>
      </w:r>
      <w:r>
        <w:rPr>
          <w:lang w:val="hy-AM"/>
        </w:rPr>
        <w:t>: Այսինքն</w:t>
      </w:r>
      <w:r w:rsidR="00E715AD" w:rsidRPr="008D325C">
        <w:rPr>
          <w:lang w:val="hy-AM"/>
        </w:rPr>
        <w:t>՝</w:t>
      </w:r>
      <w:r>
        <w:rPr>
          <w:lang w:val="hy-AM"/>
        </w:rPr>
        <w:t xml:space="preserve"> ցուցանիշի բարելավումը </w:t>
      </w:r>
      <w:r w:rsidR="00F44AEF">
        <w:rPr>
          <w:lang w:val="hy-AM"/>
        </w:rPr>
        <w:t xml:space="preserve">եղել է </w:t>
      </w:r>
      <w:r w:rsidR="00E715AD" w:rsidRPr="008D325C">
        <w:rPr>
          <w:lang w:val="hy-AM"/>
        </w:rPr>
        <w:t>առավելապես</w:t>
      </w:r>
      <w:r w:rsidR="00E715AD">
        <w:rPr>
          <w:lang w:val="hy-AM"/>
        </w:rPr>
        <w:t xml:space="preserve"> </w:t>
      </w:r>
      <w:r w:rsidR="00F44AEF">
        <w:rPr>
          <w:lang w:val="hy-AM"/>
        </w:rPr>
        <w:t>պահային գործոնների</w:t>
      </w:r>
      <w:r>
        <w:rPr>
          <w:lang w:val="hy-AM"/>
        </w:rPr>
        <w:t xml:space="preserve"> </w:t>
      </w:r>
      <w:r w:rsidRPr="00186240">
        <w:rPr>
          <w:lang w:val="hy-AM"/>
        </w:rPr>
        <w:t>(</w:t>
      </w:r>
      <w:r>
        <w:rPr>
          <w:lang w:val="hy-AM"/>
        </w:rPr>
        <w:t>կարճաժամկետ</w:t>
      </w:r>
      <w:r w:rsidRPr="00186240">
        <w:rPr>
          <w:lang w:val="hy-AM"/>
        </w:rPr>
        <w:t>)</w:t>
      </w:r>
      <w:r>
        <w:rPr>
          <w:lang w:val="hy-AM"/>
        </w:rPr>
        <w:t xml:space="preserve"> </w:t>
      </w:r>
      <w:r w:rsidR="00F44AEF">
        <w:rPr>
          <w:lang w:val="hy-AM"/>
        </w:rPr>
        <w:t>ազդեցությամբ</w:t>
      </w:r>
      <w:r>
        <w:rPr>
          <w:lang w:val="hy-AM"/>
        </w:rPr>
        <w:t>` չապահովելով դրական երկարաժամկետ հետևանքներ:  2020 թվականին հարկային եկամուտներ</w:t>
      </w:r>
      <w:r w:rsidRPr="00186240">
        <w:rPr>
          <w:lang w:val="hy-AM"/>
        </w:rPr>
        <w:t>ը կրճատվել են</w:t>
      </w:r>
      <w:r>
        <w:rPr>
          <w:lang w:val="hy-AM"/>
        </w:rPr>
        <w:t xml:space="preserve"> 5.4</w:t>
      </w:r>
      <w:r w:rsidRPr="00186240">
        <w:rPr>
          <w:lang w:val="hy-AM"/>
        </w:rPr>
        <w:t>%-</w:t>
      </w:r>
      <w:r>
        <w:rPr>
          <w:lang w:val="hy-AM"/>
        </w:rPr>
        <w:t xml:space="preserve">ով, </w:t>
      </w:r>
      <w:r w:rsidR="0007130B">
        <w:rPr>
          <w:lang w:val="hy-AM"/>
        </w:rPr>
        <w:t>և գրեթե նույն չափով էլ կրճատվել է անվանական ՀՆԱ-ն</w:t>
      </w:r>
      <w:r>
        <w:rPr>
          <w:lang w:val="hy-AM"/>
        </w:rPr>
        <w:t xml:space="preserve"> </w:t>
      </w:r>
      <w:r w:rsidRPr="00186240">
        <w:rPr>
          <w:lang w:val="hy-AM"/>
        </w:rPr>
        <w:t>(</w:t>
      </w:r>
      <w:r>
        <w:rPr>
          <w:lang w:val="hy-AM"/>
        </w:rPr>
        <w:t>5.5</w:t>
      </w:r>
      <w:r w:rsidRPr="00186240">
        <w:rPr>
          <w:lang w:val="hy-AM"/>
        </w:rPr>
        <w:t>%)</w:t>
      </w:r>
      <w:r>
        <w:rPr>
          <w:lang w:val="hy-AM"/>
        </w:rPr>
        <w:t>, ինչի պատճառով  հարկեր/ՀՆԱ հարաբերակցությունը պահպանվել է նույն մակարդակում` 22.4</w:t>
      </w:r>
      <w:r w:rsidRPr="00186240">
        <w:rPr>
          <w:lang w:val="hy-AM"/>
        </w:rPr>
        <w:t>%</w:t>
      </w:r>
      <w:r w:rsidRPr="00B665A8">
        <w:rPr>
          <w:lang w:val="hy-AM"/>
        </w:rPr>
        <w:t>:</w:t>
      </w:r>
    </w:p>
    <w:p w14:paraId="1DC42BF1" w14:textId="1B99A18F" w:rsidR="002B340E" w:rsidRDefault="002B340E" w:rsidP="002B340E">
      <w:pPr>
        <w:spacing w:before="240"/>
        <w:ind w:firstLine="602"/>
        <w:rPr>
          <w:lang w:val="hy-AM"/>
        </w:rPr>
      </w:pPr>
      <w:r>
        <w:rPr>
          <w:lang w:val="hy-AM"/>
        </w:rPr>
        <w:t>2021թ. ՀՀ պետական բյուջեով նախատեսվել է ապահովել հարկեր/ՀՆԱ հարաբերակցության 22.5</w:t>
      </w:r>
      <w:r w:rsidRPr="00186240">
        <w:rPr>
          <w:lang w:val="hy-AM"/>
        </w:rPr>
        <w:t>%</w:t>
      </w:r>
      <w:r>
        <w:rPr>
          <w:lang w:val="hy-AM"/>
        </w:rPr>
        <w:t xml:space="preserve"> մակարդակ, այնինչ ՀՀ կառավարության ներկայիս սպասումներով ցուցանիշը տարեվերջին կկազմի 22.4</w:t>
      </w:r>
      <w:r w:rsidRPr="00186240">
        <w:rPr>
          <w:lang w:val="hy-AM"/>
        </w:rPr>
        <w:t xml:space="preserve">%: </w:t>
      </w:r>
      <w:r>
        <w:rPr>
          <w:lang w:val="hy-AM"/>
        </w:rPr>
        <w:t>Հարկեր/ՀՆԱ հարաբերակցության դեպի ներքև վերանայումը հուշում է, որ հարկային հավաքագրումները 2021թ. ընթացքում չեն ընթանում ցանկալի տեմպով, ինչը զարմանալի չէ, հաշվի առնելով այն հանգամանքը, որ ՀՀ կառավարությանը չի հաջողվել տարվա ընթացքում ապահովել տնտեսության արագ տեմպերով վերականգնում, հակառակը</w:t>
      </w:r>
      <w:r w:rsidR="00E715AD" w:rsidRPr="008D325C">
        <w:rPr>
          <w:lang w:val="hy-AM"/>
        </w:rPr>
        <w:t>՝</w:t>
      </w:r>
      <w:r>
        <w:rPr>
          <w:lang w:val="hy-AM"/>
        </w:rPr>
        <w:t xml:space="preserve"> ինչպես բազմիցս նշել ենք</w:t>
      </w:r>
      <w:r w:rsidR="00E715AD" w:rsidRPr="008D325C">
        <w:rPr>
          <w:lang w:val="hy-AM"/>
        </w:rPr>
        <w:t>,</w:t>
      </w:r>
      <w:r>
        <w:rPr>
          <w:lang w:val="hy-AM"/>
        </w:rPr>
        <w:t xml:space="preserve"> տնտեսության ակտիվացման գործընթացը տեղի է ունենում գնալով ավելի դանդաղ տեմպերով:</w:t>
      </w:r>
    </w:p>
    <w:p w14:paraId="09D683A9" w14:textId="2ECA0B4A" w:rsidR="002B340E" w:rsidRDefault="002B340E" w:rsidP="002B340E">
      <w:pPr>
        <w:spacing w:before="240"/>
        <w:ind w:firstLine="602"/>
        <w:rPr>
          <w:b/>
          <w:lang w:val="hy-AM"/>
        </w:rPr>
      </w:pPr>
      <w:r w:rsidRPr="006E65B5">
        <w:rPr>
          <w:b/>
          <w:lang w:val="hy-AM"/>
        </w:rPr>
        <w:t>Ամփոփելով</w:t>
      </w:r>
      <w:r w:rsidR="00E715AD" w:rsidRPr="008D325C">
        <w:rPr>
          <w:b/>
          <w:lang w:val="hy-AM"/>
        </w:rPr>
        <w:t>՝</w:t>
      </w:r>
      <w:r w:rsidRPr="006E65B5">
        <w:rPr>
          <w:b/>
          <w:lang w:val="hy-AM"/>
        </w:rPr>
        <w:t xml:space="preserve"> կարող ենք արձանագրել, որ ՀՀ կառավարության որդեգրած հարկային քաղաքականությունը վերջին տարիներին չի տվել ցանկալի արդյունքներ, ինչի հետևանքով տուժել է տնտեսության ակտիվացման գործընթացը, խորացել են սոցիալական խնդիրները</w:t>
      </w:r>
      <w:r w:rsidR="00E715AD" w:rsidRPr="008D325C">
        <w:rPr>
          <w:b/>
          <w:lang w:val="hy-AM"/>
        </w:rPr>
        <w:t>,</w:t>
      </w:r>
      <w:r w:rsidRPr="006E65B5">
        <w:rPr>
          <w:b/>
          <w:lang w:val="hy-AM"/>
        </w:rPr>
        <w:t xml:space="preserve"> և չի ապահովվել երկարաժամկետ տնտեսական աճի քաղաքականության համար անհրաժեշտ նախադրայլները: </w:t>
      </w:r>
    </w:p>
    <w:p w14:paraId="06536E04" w14:textId="77777777" w:rsidR="00907C18" w:rsidRDefault="00907C18" w:rsidP="002B340E">
      <w:pPr>
        <w:spacing w:before="240"/>
        <w:ind w:firstLine="602"/>
        <w:rPr>
          <w:b/>
          <w:lang w:val="hy-AM"/>
        </w:rPr>
      </w:pPr>
    </w:p>
    <w:p w14:paraId="561DE24F" w14:textId="77777777" w:rsidR="00907C18" w:rsidRPr="006E65B5" w:rsidRDefault="00907C18" w:rsidP="002B340E">
      <w:pPr>
        <w:spacing w:before="240"/>
        <w:ind w:firstLine="602"/>
        <w:rPr>
          <w:b/>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2B340E" w:rsidRPr="00D00797" w14:paraId="6475003D" w14:textId="77777777" w:rsidTr="00FC2CE7">
        <w:tc>
          <w:tcPr>
            <w:tcW w:w="9062" w:type="dxa"/>
            <w:shd w:val="clear" w:color="auto" w:fill="EDEDED" w:themeFill="accent3" w:themeFillTint="33"/>
          </w:tcPr>
          <w:p w14:paraId="0585AC56" w14:textId="77777777" w:rsidR="002B340E" w:rsidRPr="00B2732B" w:rsidRDefault="002B340E" w:rsidP="00FC2CE7">
            <w:pPr>
              <w:spacing w:before="60" w:after="60" w:line="276" w:lineRule="auto"/>
              <w:jc w:val="center"/>
              <w:rPr>
                <w:color w:val="00B0F0"/>
                <w:sz w:val="22"/>
                <w:lang w:val="hy-AM"/>
              </w:rPr>
            </w:pPr>
            <w:r w:rsidRPr="00B2732B">
              <w:rPr>
                <w:color w:val="00B0F0"/>
                <w:sz w:val="22"/>
                <w:lang w:val="hy-AM"/>
              </w:rPr>
              <w:lastRenderedPageBreak/>
              <w:t>ՀՀ կառավարության 2021թ. ծրագիր</w:t>
            </w:r>
          </w:p>
          <w:p w14:paraId="74310CB9" w14:textId="77777777" w:rsidR="002B340E" w:rsidRPr="00D170E9" w:rsidRDefault="002B340E" w:rsidP="002B340E">
            <w:pPr>
              <w:pStyle w:val="ListParagraph"/>
              <w:numPr>
                <w:ilvl w:val="0"/>
                <w:numId w:val="23"/>
              </w:numPr>
              <w:spacing w:before="60" w:after="60" w:line="276" w:lineRule="auto"/>
              <w:ind w:left="313" w:hanging="283"/>
              <w:rPr>
                <w:sz w:val="20"/>
                <w:lang w:val="hy-AM"/>
              </w:rPr>
            </w:pPr>
            <w:r w:rsidRPr="00F85DA8">
              <w:rPr>
                <w:sz w:val="20"/>
                <w:lang w:val="hy-AM"/>
              </w:rPr>
              <w:t>Կառավարությունը շարունակելու է հարկային քաղաքականության այնպիսի բարեփոխումները, որոնք նպաստելու են բիզնես միջավայրի մրցունակության բարձրացմանը</w:t>
            </w:r>
            <w:r>
              <w:rPr>
                <w:sz w:val="20"/>
                <w:lang w:val="hy-AM"/>
              </w:rPr>
              <w:t xml:space="preserve">: </w:t>
            </w:r>
            <w:r w:rsidRPr="00D170E9">
              <w:rPr>
                <w:sz w:val="20"/>
                <w:lang w:val="hy-AM"/>
              </w:rPr>
              <w:t xml:space="preserve">Կառավարության կողմից իրականացվող հարկային քաղաքականությունը ուղղված է լինելու տնտեսության ներդրումային գրավչության բարձրացմանն ու տնտեսական ակտիվության մակարդակի բարելավմանը՝ դրանով իսկ ստեղծելով կայուն նախադրյալներ արտահանման և երկարաժամկետ տնտեսական աճի, հանրային բարիքի վերաբաշխման և հարկաբյուջետային կայունության ամրապնդման համար: </w:t>
            </w:r>
          </w:p>
          <w:p w14:paraId="18C1F8DD" w14:textId="77777777" w:rsidR="002B340E" w:rsidRPr="00F85DA8" w:rsidRDefault="002B340E" w:rsidP="002B340E">
            <w:pPr>
              <w:pStyle w:val="ListParagraph"/>
              <w:numPr>
                <w:ilvl w:val="0"/>
                <w:numId w:val="23"/>
              </w:numPr>
              <w:spacing w:before="60" w:after="60" w:line="276" w:lineRule="auto"/>
              <w:ind w:left="313" w:hanging="283"/>
              <w:rPr>
                <w:sz w:val="20"/>
                <w:lang w:val="hy-AM"/>
              </w:rPr>
            </w:pPr>
            <w:r w:rsidRPr="00F85DA8">
              <w:rPr>
                <w:sz w:val="20"/>
                <w:lang w:val="hy-AM"/>
              </w:rPr>
              <w:t xml:space="preserve">Այս քաղաքականությունների արդյունքում նպատակ ունենք ապահովել </w:t>
            </w:r>
            <w:r w:rsidRPr="00F85DA8">
              <w:rPr>
                <w:b/>
                <w:sz w:val="20"/>
                <w:lang w:val="hy-AM"/>
              </w:rPr>
              <w:t>հարկեր/ՀՆԱ ցուցանիշի բարելավում առնվազն 2.6 տոկոսային կետով՝</w:t>
            </w:r>
            <w:r>
              <w:rPr>
                <w:b/>
                <w:sz w:val="20"/>
                <w:lang w:val="hy-AM"/>
              </w:rPr>
              <w:t xml:space="preserve"> 2026</w:t>
            </w:r>
            <w:r w:rsidRPr="00F85DA8">
              <w:rPr>
                <w:b/>
                <w:sz w:val="20"/>
                <w:lang w:val="hy-AM"/>
              </w:rPr>
              <w:t>թ. հարկեր/ՀՆԱ ցուցանիշը հասցնելով առնվազն 25 տոկոսի:</w:t>
            </w:r>
          </w:p>
        </w:tc>
      </w:tr>
    </w:tbl>
    <w:p w14:paraId="779708B6" w14:textId="77777777" w:rsidR="002B340E" w:rsidRDefault="002B340E" w:rsidP="002B340E">
      <w:pPr>
        <w:spacing w:before="240"/>
        <w:ind w:firstLine="602"/>
        <w:rPr>
          <w:lang w:val="hy-AM"/>
        </w:rPr>
      </w:pPr>
      <w:r>
        <w:rPr>
          <w:lang w:val="hy-AM"/>
        </w:rPr>
        <w:t>ՀՀ կառավարության 2021 թվականի ծրագրով կրկին ընդգծվում է տնտեսության խթանման գործընթացում հարկային քաղաքականության դերը, սակայն նախկինում գրանցված արդյունքները թույլ չեն տալիս դրական ակնկալիքներ ձևավորել նաև ապագա տարիների համար:</w:t>
      </w:r>
    </w:p>
    <w:p w14:paraId="7836252D" w14:textId="4115E88B" w:rsidR="002B340E" w:rsidRDefault="002B340E" w:rsidP="002B340E">
      <w:pPr>
        <w:spacing w:before="240"/>
        <w:ind w:firstLine="602"/>
        <w:rPr>
          <w:lang w:val="hy-AM"/>
        </w:rPr>
      </w:pPr>
      <w:r w:rsidRPr="00F206F4">
        <w:rPr>
          <w:b/>
          <w:lang w:val="hy-AM"/>
        </w:rPr>
        <w:t>Հարկեր/ՀՆԱ ցուցանիշը ծրագրային ժամանակահատվածի ավարտին 25</w:t>
      </w:r>
      <w:r w:rsidRPr="00186240">
        <w:rPr>
          <w:b/>
          <w:lang w:val="hy-AM"/>
        </w:rPr>
        <w:t>%-</w:t>
      </w:r>
      <w:r w:rsidRPr="00F206F4">
        <w:rPr>
          <w:b/>
          <w:lang w:val="hy-AM"/>
        </w:rPr>
        <w:t>ի հասցնելու խոստումը ևս չափազանց հավակնոտ է ու անիրատեսական:</w:t>
      </w:r>
      <w:r>
        <w:rPr>
          <w:lang w:val="hy-AM"/>
        </w:rPr>
        <w:t xml:space="preserve"> Նշված արդյունքն ապահովելու համար ՀՀ կառավարությանն անհրաժեշտ կլինի առաջիկա 5 տարիներին ցուցանիշը բարելավել տարեկան </w:t>
      </w:r>
      <w:r w:rsidR="00440B0C">
        <w:rPr>
          <w:lang w:val="hy-AM"/>
        </w:rPr>
        <w:t>միջին հաշվով</w:t>
      </w:r>
      <w:r>
        <w:rPr>
          <w:lang w:val="hy-AM"/>
        </w:rPr>
        <w:t xml:space="preserve"> 0.5 տոկոսային կետով: Սակայն, պատմականորեն հարկեր/ՀՆԱ ցուցանիշը բարելավվել է տարեկան </w:t>
      </w:r>
      <w:r w:rsidR="00440B0C">
        <w:rPr>
          <w:lang w:val="hy-AM"/>
        </w:rPr>
        <w:t>միջին հաշվով</w:t>
      </w:r>
      <w:r>
        <w:rPr>
          <w:lang w:val="hy-AM"/>
        </w:rPr>
        <w:t xml:space="preserve"> 0.2 տոկոսային կետով: Հետևաբար, տարեկան 0.5 տոկոսային կետով ցուցանիշի բարելավում ապահովելու համար ՀՀ կառավարությունը պետք է լրացուցիչ ջանք ներդնի և ներկայացնի հիմնավոր միջոցառումներ, որոնց շնորհիվ հնարավոր կլինի ապահովել ծրագրային թիրախը: </w:t>
      </w:r>
    </w:p>
    <w:p w14:paraId="503D2150" w14:textId="51AE350E" w:rsidR="002B340E" w:rsidRPr="00F206F4" w:rsidRDefault="002B340E" w:rsidP="002B340E">
      <w:pPr>
        <w:spacing w:before="240"/>
        <w:ind w:firstLine="602"/>
        <w:rPr>
          <w:lang w:val="hy-AM"/>
        </w:rPr>
      </w:pPr>
      <w:r>
        <w:rPr>
          <w:lang w:val="hy-AM"/>
        </w:rPr>
        <w:t>Նկատենք, որ 2022-2024թթ. ՄԺԾ ծրագրում ներկայացված կանխատեսումների համաձայն</w:t>
      </w:r>
      <w:r w:rsidR="00E715AD" w:rsidRPr="008D325C">
        <w:rPr>
          <w:lang w:val="hy-AM"/>
        </w:rPr>
        <w:t>՝</w:t>
      </w:r>
      <w:r>
        <w:rPr>
          <w:lang w:val="hy-AM"/>
        </w:rPr>
        <w:t xml:space="preserve"> ՀՀ կառավարությունն առաջիկա 3 տարիներին ակնկալում է հարկեր/ՀՆԱ ցուցանիշի միջին հաշվով տարեկան շուրջ 0.4 տոկոսային կետով բարելավում, ինչն արդեն իսկ ցածր է անհրաժեշտ 0.5 տոկոսային կետով բարելավման ցուցանիշից: Ընդ որում, եթե ենթադրենք տարեկան </w:t>
      </w:r>
      <w:r w:rsidR="00440B0C">
        <w:rPr>
          <w:lang w:val="hy-AM"/>
        </w:rPr>
        <w:t>միջին հաշվով</w:t>
      </w:r>
      <w:r>
        <w:rPr>
          <w:lang w:val="hy-AM"/>
        </w:rPr>
        <w:t xml:space="preserve"> 0.4 տոկոսային կետով </w:t>
      </w:r>
      <w:r w:rsidR="005A131F">
        <w:rPr>
          <w:lang w:val="hy-AM"/>
        </w:rPr>
        <w:t xml:space="preserve">ցուցանիշը բարելավվի </w:t>
      </w:r>
      <w:r>
        <w:rPr>
          <w:lang w:val="hy-AM"/>
        </w:rPr>
        <w:t>նաև 2025 և 2026 թվականներին, ապա կառավարության ծրագրի ավարտին հարկեր/ՀՆԱ ցուցանիշը կկազմի մոտ 24.4</w:t>
      </w:r>
      <w:r w:rsidRPr="00186240">
        <w:rPr>
          <w:lang w:val="hy-AM"/>
        </w:rPr>
        <w:t xml:space="preserve">%` չապահովելով կառավարության </w:t>
      </w:r>
      <w:r>
        <w:rPr>
          <w:lang w:val="hy-AM"/>
        </w:rPr>
        <w:t xml:space="preserve">ծրագրային թիրախի կատարումը: </w:t>
      </w:r>
    </w:p>
    <w:p w14:paraId="5433DE8A" w14:textId="73729136" w:rsidR="002B340E" w:rsidRDefault="002B340E" w:rsidP="002B340E">
      <w:pPr>
        <w:spacing w:before="240"/>
        <w:ind w:firstLine="602"/>
        <w:rPr>
          <w:b/>
          <w:lang w:val="hy-AM"/>
        </w:rPr>
      </w:pPr>
      <w:r w:rsidRPr="000C05B0">
        <w:rPr>
          <w:b/>
          <w:lang w:val="hy-AM"/>
        </w:rPr>
        <w:t xml:space="preserve">Ստացվում է, որ միջնաժամկետ հորիզոնում ՀՀ կառավարությունը պլանավորում է հարկեր/ՀՆԱ ցուցանիշի անիրատեսական մակարդակ` վտանգելով </w:t>
      </w:r>
      <w:r w:rsidR="00CA0335" w:rsidRPr="000C05B0">
        <w:rPr>
          <w:b/>
          <w:lang w:val="hy-AM"/>
        </w:rPr>
        <w:t>միջ</w:t>
      </w:r>
      <w:r w:rsidR="00CA0335">
        <w:rPr>
          <w:b/>
          <w:lang w:val="hy-AM"/>
        </w:rPr>
        <w:t>ն</w:t>
      </w:r>
      <w:r w:rsidR="00CA0335" w:rsidRPr="000C05B0">
        <w:rPr>
          <w:b/>
          <w:lang w:val="hy-AM"/>
        </w:rPr>
        <w:t>ա</w:t>
      </w:r>
      <w:r w:rsidR="00CA0335">
        <w:rPr>
          <w:b/>
          <w:lang w:val="hy-AM"/>
        </w:rPr>
        <w:t>ժամ</w:t>
      </w:r>
      <w:r w:rsidR="00CA0335" w:rsidRPr="000C05B0">
        <w:rPr>
          <w:b/>
          <w:lang w:val="hy-AM"/>
        </w:rPr>
        <w:t xml:space="preserve">կետում </w:t>
      </w:r>
      <w:r w:rsidRPr="000C05B0">
        <w:rPr>
          <w:b/>
          <w:lang w:val="hy-AM"/>
        </w:rPr>
        <w:t xml:space="preserve">ինչպես հարկաբյուջետային կայունության, այնպես էլ ՀՀ կառավարության պարտքի կայունության ապահովման խնդիրը: </w:t>
      </w:r>
    </w:p>
    <w:p w14:paraId="64ED4439" w14:textId="36453984" w:rsidR="002B340E" w:rsidRPr="00811BC3" w:rsidRDefault="001173E6" w:rsidP="00811BC3">
      <w:pPr>
        <w:spacing w:before="240"/>
        <w:ind w:firstLine="0"/>
        <w:rPr>
          <w:color w:val="00B0F0"/>
          <w:lang w:val="hy-AM"/>
        </w:rPr>
      </w:pPr>
      <w:r>
        <w:rPr>
          <w:color w:val="00B0F0"/>
          <w:lang w:val="hy-AM"/>
        </w:rPr>
        <w:lastRenderedPageBreak/>
        <w:t>Պաշտոնական</w:t>
      </w:r>
      <w:r w:rsidRPr="00811BC3">
        <w:rPr>
          <w:color w:val="00B0F0"/>
          <w:lang w:val="hy-AM"/>
        </w:rPr>
        <w:t xml:space="preserve"> </w:t>
      </w:r>
      <w:r w:rsidR="002B340E" w:rsidRPr="00811BC3">
        <w:rPr>
          <w:color w:val="00B0F0"/>
          <w:lang w:val="hy-AM"/>
        </w:rPr>
        <w:t>դրամաշնորհներ և այլ եկամուտներ</w:t>
      </w:r>
    </w:p>
    <w:p w14:paraId="7D5F34B7" w14:textId="0D39B7B6" w:rsidR="002B340E" w:rsidRDefault="002B340E" w:rsidP="002B340E">
      <w:pPr>
        <w:spacing w:before="240"/>
        <w:ind w:firstLine="602"/>
        <w:rPr>
          <w:lang w:val="hy-AM"/>
        </w:rPr>
      </w:pPr>
      <w:r>
        <w:rPr>
          <w:lang w:val="hy-AM"/>
        </w:rPr>
        <w:t xml:space="preserve">ՀՀ կառավարության ծրագրերում առանձին անդրադարձ չի կատարվել </w:t>
      </w:r>
      <w:r w:rsidR="00DF0210">
        <w:rPr>
          <w:lang w:val="hy-AM"/>
        </w:rPr>
        <w:t>եկամուտների</w:t>
      </w:r>
      <w:r>
        <w:rPr>
          <w:lang w:val="hy-AM"/>
        </w:rPr>
        <w:t xml:space="preserve"> ձևավորման մյուս բաղադրատարրերին, որոնք ընդհանուր առմամբ միասին կազմում են </w:t>
      </w:r>
      <w:r w:rsidR="00DF0210">
        <w:rPr>
          <w:lang w:val="hy-AM"/>
        </w:rPr>
        <w:t xml:space="preserve">պետական </w:t>
      </w:r>
      <w:r>
        <w:rPr>
          <w:lang w:val="hy-AM"/>
        </w:rPr>
        <w:t xml:space="preserve">եկամուտների </w:t>
      </w:r>
      <w:r w:rsidR="00440B0C">
        <w:rPr>
          <w:lang w:val="hy-AM"/>
        </w:rPr>
        <w:t>միջին հաշվով</w:t>
      </w:r>
      <w:r>
        <w:rPr>
          <w:lang w:val="hy-AM"/>
        </w:rPr>
        <w:t xml:space="preserve"> տարեկան 1.5-2</w:t>
      </w:r>
      <w:r w:rsidRPr="00186240">
        <w:rPr>
          <w:lang w:val="hy-AM"/>
        </w:rPr>
        <w:t>%-</w:t>
      </w:r>
      <w:r>
        <w:rPr>
          <w:lang w:val="hy-AM"/>
        </w:rPr>
        <w:t>ը</w:t>
      </w:r>
      <w:r w:rsidR="00B16BD6">
        <w:rPr>
          <w:rStyle w:val="FootnoteReference"/>
        </w:rPr>
        <w:footnoteReference w:id="47"/>
      </w:r>
      <w:r w:rsidR="00DF0210">
        <w:rPr>
          <w:lang w:val="hy-AM"/>
        </w:rPr>
        <w:t>:</w:t>
      </w:r>
    </w:p>
    <w:p w14:paraId="487653E8" w14:textId="09FD505F" w:rsidR="002B340E" w:rsidRDefault="002B340E" w:rsidP="002B340E">
      <w:pPr>
        <w:spacing w:before="240"/>
        <w:ind w:firstLine="602"/>
        <w:rPr>
          <w:lang w:val="hy-AM"/>
        </w:rPr>
      </w:pPr>
      <w:r w:rsidRPr="00C14700">
        <w:rPr>
          <w:b/>
          <w:lang w:val="hy-AM"/>
        </w:rPr>
        <w:t xml:space="preserve">2018-2020թթ. և 2021թ. առաջին կիսամյակի </w:t>
      </w:r>
      <w:r>
        <w:rPr>
          <w:b/>
          <w:lang w:val="hy-AM"/>
        </w:rPr>
        <w:t>ընթացքում</w:t>
      </w:r>
      <w:r w:rsidRPr="00C14700">
        <w:rPr>
          <w:b/>
          <w:lang w:val="hy-AM"/>
        </w:rPr>
        <w:t xml:space="preserve"> </w:t>
      </w:r>
      <w:r w:rsidR="009863D4">
        <w:rPr>
          <w:b/>
          <w:lang w:val="hy-AM"/>
        </w:rPr>
        <w:t>պաշտոնական</w:t>
      </w:r>
      <w:r w:rsidR="009863D4" w:rsidRPr="00C14700">
        <w:rPr>
          <w:b/>
          <w:lang w:val="hy-AM"/>
        </w:rPr>
        <w:t xml:space="preserve"> </w:t>
      </w:r>
      <w:r w:rsidRPr="00C14700">
        <w:rPr>
          <w:b/>
          <w:lang w:val="hy-AM"/>
        </w:rPr>
        <w:t xml:space="preserve">դրամաշնորհներն էականորեն թերակատարվել են: </w:t>
      </w:r>
      <w:r w:rsidRPr="00585664">
        <w:rPr>
          <w:lang w:val="hy-AM"/>
        </w:rPr>
        <w:t xml:space="preserve">Ընդ որում, </w:t>
      </w:r>
      <w:r>
        <w:rPr>
          <w:lang w:val="hy-AM"/>
        </w:rPr>
        <w:t>2018 թվականին պետական բյուջե մուտքագրված պաշտոնական դրամաշնորհների թերակատարումը կազմել է մոտ 71</w:t>
      </w:r>
      <w:r w:rsidRPr="00186240">
        <w:rPr>
          <w:lang w:val="hy-AM"/>
        </w:rPr>
        <w:t>%</w:t>
      </w:r>
      <w:r>
        <w:rPr>
          <w:lang w:val="hy-AM"/>
        </w:rPr>
        <w:t>, 2019-ին` 69</w:t>
      </w:r>
      <w:r w:rsidRPr="00186240">
        <w:rPr>
          <w:lang w:val="hy-AM"/>
        </w:rPr>
        <w:t>%</w:t>
      </w:r>
      <w:r>
        <w:rPr>
          <w:lang w:val="hy-AM"/>
        </w:rPr>
        <w:t>, 2020-ին` 14</w:t>
      </w:r>
      <w:r w:rsidRPr="00186240">
        <w:rPr>
          <w:lang w:val="hy-AM"/>
        </w:rPr>
        <w:t>%</w:t>
      </w:r>
      <w:r>
        <w:rPr>
          <w:lang w:val="hy-AM"/>
        </w:rPr>
        <w:t>, իսկ 2021թ. առաջին կիսամյակում` 71</w:t>
      </w:r>
      <w:r w:rsidRPr="00186240">
        <w:rPr>
          <w:lang w:val="hy-AM"/>
        </w:rPr>
        <w:t>%</w:t>
      </w:r>
      <w:r>
        <w:rPr>
          <w:lang w:val="hy-AM"/>
        </w:rPr>
        <w:t xml:space="preserve">: Գումարային առումով նշված ժամանակահատվածում ՀՀ կառավարությունը չի ստացել նախապես պլանավորված ավելի քան 74 մլրդ դրամի դրամաշնորհային միջոցներ: </w:t>
      </w:r>
      <w:r w:rsidR="00DF0210">
        <w:rPr>
          <w:b/>
          <w:lang w:val="hy-AM"/>
        </w:rPr>
        <w:t>Պաշտոնական</w:t>
      </w:r>
      <w:r w:rsidR="00DF0210" w:rsidRPr="00BE4445">
        <w:rPr>
          <w:b/>
          <w:lang w:val="hy-AM"/>
        </w:rPr>
        <w:t xml:space="preserve"> </w:t>
      </w:r>
      <w:r w:rsidRPr="00BE4445">
        <w:rPr>
          <w:b/>
          <w:lang w:val="hy-AM"/>
        </w:rPr>
        <w:t>դրամաշնորհների էական թերակատարումները խոսում են ՀՀ կառավարության ցածր կառավարչական հմտությունների մասին, քանի որ դրանք չեն ստացվել կանխավ արտաքին դոնորների հետ համաձայնեցրած նախապայմանները չկատարելու հետևանքով:</w:t>
      </w:r>
      <w:r>
        <w:rPr>
          <w:lang w:val="hy-AM"/>
        </w:rPr>
        <w:t xml:space="preserve"> </w:t>
      </w:r>
    </w:p>
    <w:p w14:paraId="7E7DB5D5" w14:textId="0F40EA1C" w:rsidR="002B340E" w:rsidRPr="00945BC8" w:rsidRDefault="002B340E" w:rsidP="002B340E">
      <w:pPr>
        <w:spacing w:before="240"/>
        <w:ind w:firstLine="602"/>
        <w:rPr>
          <w:lang w:val="hy-AM"/>
        </w:rPr>
      </w:pPr>
      <w:r w:rsidRPr="00786B00">
        <w:rPr>
          <w:b/>
          <w:lang w:val="hy-AM"/>
        </w:rPr>
        <w:t xml:space="preserve">Պետական բյուջեի այլ եկամուտները նշված ժամանակահատվածում գերակատարվել են </w:t>
      </w:r>
      <w:r w:rsidR="00440B0C">
        <w:rPr>
          <w:b/>
          <w:lang w:val="hy-AM"/>
        </w:rPr>
        <w:t>միջին հաշվով</w:t>
      </w:r>
      <w:r w:rsidRPr="00786B00">
        <w:rPr>
          <w:b/>
          <w:lang w:val="hy-AM"/>
        </w:rPr>
        <w:t xml:space="preserve"> շուրջ 16</w:t>
      </w:r>
      <w:r w:rsidRPr="00186240">
        <w:rPr>
          <w:b/>
          <w:lang w:val="hy-AM"/>
        </w:rPr>
        <w:t>%-</w:t>
      </w:r>
      <w:r w:rsidRPr="00786B00">
        <w:rPr>
          <w:b/>
          <w:lang w:val="hy-AM"/>
        </w:rPr>
        <w:t>ով:</w:t>
      </w:r>
      <w:r>
        <w:rPr>
          <w:lang w:val="hy-AM"/>
        </w:rPr>
        <w:t xml:space="preserve"> Գերակատարումը հիմնականում պայմանավորված է եղել ֆինանսական</w:t>
      </w:r>
      <w:r w:rsidRPr="00AE7616">
        <w:rPr>
          <w:lang w:val="hy-AM"/>
        </w:rPr>
        <w:t xml:space="preserve"> հաստատություններում բյուջեի ժամանակավոր ազատ միջոցների օգտագործումից ստացվող տոկոսավճարներ</w:t>
      </w:r>
      <w:r>
        <w:rPr>
          <w:lang w:val="hy-AM"/>
        </w:rPr>
        <w:t>ի կատարողականով</w:t>
      </w:r>
      <w:r w:rsidRPr="00AE7616">
        <w:rPr>
          <w:lang w:val="hy-AM"/>
        </w:rPr>
        <w:t>:</w:t>
      </w:r>
    </w:p>
    <w:p w14:paraId="37B5A251" w14:textId="77777777" w:rsidR="002B340E" w:rsidRPr="00377315" w:rsidRDefault="002B340E" w:rsidP="009127B0">
      <w:pPr>
        <w:pStyle w:val="Heading3"/>
        <w:rPr>
          <w:sz w:val="28"/>
          <w:lang w:val="hy-AM"/>
        </w:rPr>
      </w:pPr>
      <w:bookmarkStart w:id="17" w:name="_Toc88138989"/>
      <w:r w:rsidRPr="00377315">
        <w:rPr>
          <w:lang w:val="hy-AM"/>
        </w:rPr>
        <w:t>4.1.2. Ծախսային քաղաքականությունը</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2B340E" w:rsidRPr="00D00797" w14:paraId="4C180780" w14:textId="77777777" w:rsidTr="00FC2CE7">
        <w:tc>
          <w:tcPr>
            <w:tcW w:w="9062" w:type="dxa"/>
            <w:shd w:val="clear" w:color="auto" w:fill="EDEDED" w:themeFill="accent3" w:themeFillTint="33"/>
          </w:tcPr>
          <w:p w14:paraId="4E20D3AB" w14:textId="77777777" w:rsidR="002B340E" w:rsidRPr="00826747" w:rsidRDefault="002B340E" w:rsidP="00FC2CE7">
            <w:pPr>
              <w:spacing w:before="60" w:after="60" w:line="276" w:lineRule="auto"/>
              <w:jc w:val="center"/>
              <w:rPr>
                <w:color w:val="00B0F0"/>
                <w:sz w:val="20"/>
                <w:szCs w:val="20"/>
                <w:lang w:val="hy-AM"/>
              </w:rPr>
            </w:pPr>
            <w:r w:rsidRPr="00826747">
              <w:rPr>
                <w:color w:val="00B0F0"/>
                <w:sz w:val="22"/>
                <w:szCs w:val="20"/>
                <w:lang w:val="hy-AM"/>
              </w:rPr>
              <w:t>ՀՀ կառավարության 2019թ. ծրագիր</w:t>
            </w:r>
          </w:p>
          <w:p w14:paraId="5C652395" w14:textId="77777777" w:rsidR="002B340E" w:rsidRPr="00844F10" w:rsidRDefault="002B340E" w:rsidP="002B340E">
            <w:pPr>
              <w:pStyle w:val="ListParagraph"/>
              <w:numPr>
                <w:ilvl w:val="0"/>
                <w:numId w:val="24"/>
              </w:numPr>
              <w:spacing w:before="60" w:after="60" w:line="276" w:lineRule="auto"/>
              <w:ind w:left="313" w:hanging="284"/>
              <w:rPr>
                <w:sz w:val="20"/>
                <w:szCs w:val="20"/>
                <w:lang w:val="hy-AM"/>
              </w:rPr>
            </w:pPr>
            <w:r w:rsidRPr="00844F10">
              <w:rPr>
                <w:sz w:val="20"/>
                <w:szCs w:val="20"/>
                <w:lang w:val="hy-AM"/>
              </w:rPr>
              <w:t xml:space="preserve">Ծախսային քաղաքականության արդյունավետության բարձրացման տեսանկյունից Կառավարությունը կարևորելու է հանրային ֆինանսների նպատակային, խնայողաբար և արդյունավետ օգտագործումը: Այն ապահովելու նպատակով Կառավարությունը ներդնելու է «հավելյալ արժեքի ստեղծման նպատակադրում ունեցող արդի գործիքակազմ», որը թույլ կտա </w:t>
            </w:r>
            <w:r w:rsidRPr="00844F10">
              <w:rPr>
                <w:b/>
                <w:sz w:val="20"/>
                <w:szCs w:val="20"/>
                <w:lang w:val="hy-AM"/>
              </w:rPr>
              <w:t>հանրային ֆինանսների կառավարման համակարգում պլանային քանակական ցուցանիշներ սահմանելու մեթոդաբանությունից անցում կատարել որակական ցուցանիշների սահմանմամբ թիրախային բյուջետավորման համակարգի</w:t>
            </w:r>
            <w:r w:rsidRPr="00844F10">
              <w:rPr>
                <w:sz w:val="20"/>
                <w:szCs w:val="20"/>
                <w:lang w:val="hy-AM"/>
              </w:rPr>
              <w:t>:</w:t>
            </w:r>
            <w:r>
              <w:rPr>
                <w:sz w:val="20"/>
                <w:szCs w:val="20"/>
                <w:lang w:val="hy-AM"/>
              </w:rPr>
              <w:t xml:space="preserve"> </w:t>
            </w:r>
            <w:r w:rsidRPr="00844F10">
              <w:rPr>
                <w:sz w:val="20"/>
                <w:szCs w:val="20"/>
                <w:lang w:val="hy-AM"/>
              </w:rPr>
              <w:t>Կառավարությունը որդեգրելու է այնպիսի մոտեցում, որն անաչառ կերպով գնալու է պետական մեքենայի վրա ծախսվող յուրաքանչյուր դրամի հասցեականության և արդյունավետության հետևից:</w:t>
            </w:r>
          </w:p>
          <w:p w14:paraId="2F12EA84" w14:textId="77777777" w:rsidR="002B340E" w:rsidRPr="00844F10" w:rsidRDefault="002B340E" w:rsidP="002B340E">
            <w:pPr>
              <w:pStyle w:val="ListParagraph"/>
              <w:numPr>
                <w:ilvl w:val="0"/>
                <w:numId w:val="24"/>
              </w:numPr>
              <w:spacing w:before="60" w:after="60" w:line="276" w:lineRule="auto"/>
              <w:ind w:left="313" w:hanging="284"/>
              <w:rPr>
                <w:sz w:val="20"/>
                <w:szCs w:val="20"/>
                <w:lang w:val="hy-AM"/>
              </w:rPr>
            </w:pPr>
            <w:r w:rsidRPr="00844F10">
              <w:rPr>
                <w:sz w:val="20"/>
                <w:szCs w:val="20"/>
                <w:lang w:val="hy-AM"/>
              </w:rPr>
              <w:t xml:space="preserve">Ծախսային քաղաքականության արդյունավետության բարձրացման գործում կարևորվելու են նաև </w:t>
            </w:r>
            <w:r w:rsidRPr="00844F10">
              <w:rPr>
                <w:b/>
                <w:sz w:val="20"/>
                <w:szCs w:val="20"/>
                <w:lang w:val="hy-AM"/>
              </w:rPr>
              <w:t>պետական գնումների բարեփոխումները</w:t>
            </w:r>
            <w:r w:rsidRPr="00844F10">
              <w:rPr>
                <w:sz w:val="20"/>
                <w:szCs w:val="20"/>
                <w:lang w:val="hy-AM"/>
              </w:rPr>
              <w:t>:</w:t>
            </w:r>
          </w:p>
          <w:p w14:paraId="03BB8633" w14:textId="77777777" w:rsidR="002B340E" w:rsidRPr="00844F10" w:rsidRDefault="002B340E" w:rsidP="002B340E">
            <w:pPr>
              <w:pStyle w:val="ListParagraph"/>
              <w:numPr>
                <w:ilvl w:val="0"/>
                <w:numId w:val="24"/>
              </w:numPr>
              <w:spacing w:before="60" w:after="60" w:line="276" w:lineRule="auto"/>
              <w:ind w:left="313" w:hanging="284"/>
              <w:rPr>
                <w:lang w:val="hy-AM"/>
              </w:rPr>
            </w:pPr>
            <w:r w:rsidRPr="00844F10">
              <w:rPr>
                <w:sz w:val="20"/>
                <w:szCs w:val="20"/>
                <w:lang w:val="hy-AM"/>
              </w:rPr>
              <w:lastRenderedPageBreak/>
              <w:t>Ակնկալվում է, որ ՀՀ պետական բյուջեի ծախսերի կառուցվածքում աստիճանաբար հնարավորությունների սահմաններում</w:t>
            </w:r>
            <w:r w:rsidRPr="00844F10">
              <w:rPr>
                <w:b/>
                <w:sz w:val="20"/>
                <w:szCs w:val="20"/>
                <w:lang w:val="hy-AM"/>
              </w:rPr>
              <w:t xml:space="preserve"> կմեծանա ... ենթակառուցվածքներին ուղղվող ծախսերի տեսակարար կշիռը</w:t>
            </w:r>
            <w:r w:rsidRPr="00844F10">
              <w:rPr>
                <w:sz w:val="20"/>
                <w:szCs w:val="20"/>
                <w:lang w:val="hy-AM"/>
              </w:rPr>
              <w:t>:</w:t>
            </w:r>
          </w:p>
        </w:tc>
      </w:tr>
    </w:tbl>
    <w:p w14:paraId="50E4A373" w14:textId="77777777" w:rsidR="002B340E" w:rsidRPr="00BB1B6B" w:rsidRDefault="002B340E" w:rsidP="00BB1B6B">
      <w:pPr>
        <w:spacing w:before="240"/>
        <w:ind w:firstLine="0"/>
        <w:rPr>
          <w:color w:val="00B0F0"/>
          <w:lang w:val="hy-AM"/>
        </w:rPr>
      </w:pPr>
      <w:r w:rsidRPr="00BB1B6B">
        <w:rPr>
          <w:color w:val="00B0F0"/>
          <w:lang w:val="hy-AM"/>
        </w:rPr>
        <w:lastRenderedPageBreak/>
        <w:t>Բյուջետային համակարգը</w:t>
      </w:r>
    </w:p>
    <w:p w14:paraId="6E5F4678" w14:textId="4861E2ED" w:rsidR="002B340E" w:rsidRDefault="002B340E" w:rsidP="002B340E">
      <w:pPr>
        <w:spacing w:before="240"/>
        <w:ind w:firstLine="602"/>
        <w:rPr>
          <w:lang w:val="hy-AM"/>
        </w:rPr>
      </w:pPr>
      <w:r>
        <w:rPr>
          <w:lang w:val="hy-AM"/>
        </w:rPr>
        <w:t>ՀՀ կառավարությունը թիրախավորում է ծրագրային բյուջետավորման համակարգի ներդրումը, որն ի վերջո կապահովի պետական ծախսերի արդյունավետության գնահատում</w:t>
      </w:r>
      <w:r w:rsidR="00F231F9" w:rsidRPr="008D325C">
        <w:rPr>
          <w:lang w:val="hy-AM"/>
        </w:rPr>
        <w:t>՝</w:t>
      </w:r>
      <w:r>
        <w:rPr>
          <w:lang w:val="hy-AM"/>
        </w:rPr>
        <w:t xml:space="preserve"> հիմնված որակական և ոչ թե պլանային քանակական ցուցանիշների վրա: </w:t>
      </w:r>
      <w:r w:rsidRPr="00C115B5">
        <w:rPr>
          <w:b/>
          <w:lang w:val="hy-AM"/>
        </w:rPr>
        <w:t xml:space="preserve">Թեև ՀՀ կառավարությունը պնդում է, որ </w:t>
      </w:r>
      <w:r w:rsidR="00E715AD" w:rsidRPr="008D325C">
        <w:rPr>
          <w:b/>
          <w:lang w:val="hy-AM"/>
        </w:rPr>
        <w:t xml:space="preserve">  </w:t>
      </w:r>
      <w:r w:rsidRPr="00C115B5">
        <w:rPr>
          <w:b/>
          <w:lang w:val="hy-AM"/>
        </w:rPr>
        <w:t>2019-ից ամբողջությամբ անցում է կատարել ծրագրային բյուջետավորման ձևաչափին, այդուհանդերձ իրականությունն այլ բան է փաստում:</w:t>
      </w:r>
      <w:r>
        <w:rPr>
          <w:lang w:val="hy-AM"/>
        </w:rPr>
        <w:t xml:space="preserve"> </w:t>
      </w:r>
    </w:p>
    <w:p w14:paraId="478C6FE5" w14:textId="6E4B851F" w:rsidR="002B340E" w:rsidRPr="00DF65A4" w:rsidRDefault="002B340E" w:rsidP="002B340E">
      <w:pPr>
        <w:spacing w:before="240"/>
        <w:ind w:firstLine="602"/>
        <w:rPr>
          <w:b/>
          <w:lang w:val="hy-AM"/>
        </w:rPr>
      </w:pPr>
      <w:r>
        <w:rPr>
          <w:lang w:val="hy-AM"/>
        </w:rPr>
        <w:t xml:space="preserve">Այսպես, համաձայն ՀՀ հաշվեքննիչ պալատի </w:t>
      </w:r>
      <w:r w:rsidRPr="00186240">
        <w:rPr>
          <w:lang w:val="hy-AM"/>
        </w:rPr>
        <w:t>(</w:t>
      </w:r>
      <w:r>
        <w:rPr>
          <w:lang w:val="hy-AM"/>
        </w:rPr>
        <w:t>ՀՀ ՀՊ</w:t>
      </w:r>
      <w:r w:rsidRPr="00186240">
        <w:rPr>
          <w:lang w:val="hy-AM"/>
        </w:rPr>
        <w:t>)</w:t>
      </w:r>
      <w:r>
        <w:rPr>
          <w:lang w:val="hy-AM"/>
        </w:rPr>
        <w:t xml:space="preserve"> 2020թ. տարեկան </w:t>
      </w:r>
      <w:r w:rsidR="005D67CF">
        <w:rPr>
          <w:lang w:val="hy-AM"/>
        </w:rPr>
        <w:t>հաղորդման</w:t>
      </w:r>
      <w:r>
        <w:rPr>
          <w:rStyle w:val="FootnoteReference"/>
          <w:lang w:val="hy-AM"/>
        </w:rPr>
        <w:footnoteReference w:id="48"/>
      </w:r>
      <w:r w:rsidR="00F231F9" w:rsidRPr="008D325C">
        <w:rPr>
          <w:lang w:val="hy-AM"/>
        </w:rPr>
        <w:t>՝</w:t>
      </w:r>
      <w:r w:rsidRPr="00186240">
        <w:rPr>
          <w:lang w:val="hy-AM"/>
        </w:rPr>
        <w:t xml:space="preserve"> </w:t>
      </w:r>
      <w:r>
        <w:rPr>
          <w:lang w:val="hy-AM"/>
        </w:rPr>
        <w:t>2020 թվականին պետական բյուջեի ծրագրային միջոցառումներից միայն 7</w:t>
      </w:r>
      <w:r w:rsidRPr="00186240">
        <w:rPr>
          <w:lang w:val="hy-AM"/>
        </w:rPr>
        <w:t>%-</w:t>
      </w:r>
      <w:r>
        <w:rPr>
          <w:lang w:val="hy-AM"/>
        </w:rPr>
        <w:t>ի մասով է սահմանված եղել ոչ ֆինանսական ցուցանիշների տեսակային լիարժեք կազմ: Ընդհանուրի 55.3</w:t>
      </w:r>
      <w:r w:rsidRPr="00186240">
        <w:rPr>
          <w:lang w:val="hy-AM"/>
        </w:rPr>
        <w:t>%</w:t>
      </w:r>
      <w:r>
        <w:rPr>
          <w:lang w:val="hy-AM"/>
        </w:rPr>
        <w:t xml:space="preserve">-ի մասով սահմանված է եղել միայն </w:t>
      </w:r>
      <w:r w:rsidRPr="002478A0">
        <w:rPr>
          <w:lang w:val="hy-AM"/>
        </w:rPr>
        <w:t xml:space="preserve">մեկ տեսակի (հիմնականում` քանակական) ոչ ֆինանսական ցուցանիշ, ինչը </w:t>
      </w:r>
      <w:r>
        <w:rPr>
          <w:lang w:val="hy-AM"/>
        </w:rPr>
        <w:t>հնարավորություն չի ընձեռում</w:t>
      </w:r>
      <w:r w:rsidRPr="002478A0">
        <w:rPr>
          <w:lang w:val="hy-AM"/>
        </w:rPr>
        <w:t xml:space="preserve"> դրանց կատարման արդյունավետության լիարժեք գնահատման համար:</w:t>
      </w:r>
      <w:r>
        <w:rPr>
          <w:lang w:val="hy-AM"/>
        </w:rPr>
        <w:t xml:space="preserve"> Ընդհանուր ծրագրային միջոցառումների 17.7</w:t>
      </w:r>
      <w:r w:rsidRPr="00186240">
        <w:rPr>
          <w:lang w:val="hy-AM"/>
        </w:rPr>
        <w:t>%-</w:t>
      </w:r>
      <w:r>
        <w:rPr>
          <w:lang w:val="hy-AM"/>
        </w:rPr>
        <w:t>ի մասով որևէ ոչ ֆինանսական ցուցանիշ սահմանված չի եղել: Ընդհանուր առմամբ, ո</w:t>
      </w:r>
      <w:r w:rsidRPr="002478A0">
        <w:rPr>
          <w:lang w:val="hy-AM"/>
        </w:rPr>
        <w:t xml:space="preserve">րակական տեսակի ոչ ֆինանսական ցուցանիշների թիվը </w:t>
      </w:r>
      <w:r>
        <w:rPr>
          <w:lang w:val="hy-AM"/>
        </w:rPr>
        <w:t>2020-ին բավական փոքր է</w:t>
      </w:r>
      <w:r w:rsidRPr="002478A0">
        <w:rPr>
          <w:lang w:val="hy-AM"/>
        </w:rPr>
        <w:t xml:space="preserve">` </w:t>
      </w:r>
      <w:r>
        <w:rPr>
          <w:lang w:val="hy-AM"/>
        </w:rPr>
        <w:t>մոտ 14.9%</w:t>
      </w:r>
      <w:r w:rsidRPr="002478A0">
        <w:rPr>
          <w:lang w:val="hy-AM"/>
        </w:rPr>
        <w:t>:</w:t>
      </w:r>
      <w:r>
        <w:rPr>
          <w:lang w:val="hy-AM"/>
        </w:rPr>
        <w:t xml:space="preserve"> </w:t>
      </w:r>
      <w:r w:rsidRPr="00DF65A4">
        <w:rPr>
          <w:b/>
          <w:lang w:val="hy-AM"/>
        </w:rPr>
        <w:t>Ստացվում է, որ ֆորմալ առումով</w:t>
      </w:r>
      <w:r w:rsidR="00F231F9" w:rsidRPr="008D325C">
        <w:rPr>
          <w:b/>
          <w:lang w:val="hy-AM"/>
        </w:rPr>
        <w:t>,</w:t>
      </w:r>
      <w:r w:rsidRPr="00DF65A4">
        <w:rPr>
          <w:b/>
          <w:lang w:val="hy-AM"/>
        </w:rPr>
        <w:t xml:space="preserve"> այո, անցում է կատարվել ծրագրային բյուջետավորման, սակայն «որակական ցուցանիշների սահմանմամբ թիրախային բյուջետավորման համակարգն» ամբողջապես ներդրված չէ:</w:t>
      </w:r>
      <w:r>
        <w:rPr>
          <w:b/>
          <w:lang w:val="hy-AM"/>
        </w:rPr>
        <w:t xml:space="preserve"> </w:t>
      </w:r>
      <w:r>
        <w:rPr>
          <w:lang w:val="hy-AM"/>
        </w:rPr>
        <w:t xml:space="preserve">Թեև ՀՀ 2021թ. պետական բյուջեն ևս կազմվել է ծրագրային բյուջետավորման ձևաչափով` 2020թ. գրանցված խնդիրները շարունակում են պահպանվել նաև այս տարի: </w:t>
      </w:r>
    </w:p>
    <w:p w14:paraId="71AD7A0E" w14:textId="77777777" w:rsidR="002B340E" w:rsidRPr="00B8415E" w:rsidRDefault="002B340E" w:rsidP="00B8415E">
      <w:pPr>
        <w:spacing w:before="240"/>
        <w:ind w:firstLine="0"/>
        <w:rPr>
          <w:color w:val="00B0F0"/>
          <w:lang w:val="hy-AM"/>
        </w:rPr>
      </w:pPr>
      <w:r w:rsidRPr="00B8415E">
        <w:rPr>
          <w:color w:val="00B0F0"/>
          <w:lang w:val="hy-AM"/>
        </w:rPr>
        <w:t>Պետական գնումների գործընթացը</w:t>
      </w:r>
    </w:p>
    <w:p w14:paraId="2730716F" w14:textId="231AB538" w:rsidR="002B340E" w:rsidRDefault="002B340E" w:rsidP="002B340E">
      <w:pPr>
        <w:spacing w:before="240"/>
        <w:ind w:firstLine="602"/>
        <w:rPr>
          <w:lang w:val="hy-AM"/>
        </w:rPr>
      </w:pPr>
      <w:r w:rsidRPr="00B0488F">
        <w:rPr>
          <w:b/>
          <w:lang w:val="hy-AM"/>
        </w:rPr>
        <w:t>Պետական գնումների գործընթացը բարելավվելու փոխարեն հետընթաց է ապրել:</w:t>
      </w:r>
      <w:r>
        <w:rPr>
          <w:lang w:val="hy-AM"/>
        </w:rPr>
        <w:t xml:space="preserve"> ՀՀ ՀՊ</w:t>
      </w:r>
      <w:r w:rsidRPr="00CB7384">
        <w:rPr>
          <w:lang w:val="hy-AM"/>
        </w:rPr>
        <w:t xml:space="preserve"> կողմից </w:t>
      </w:r>
      <w:r w:rsidRPr="003E5C30">
        <w:rPr>
          <w:lang w:val="hy-AM"/>
        </w:rPr>
        <w:t>գնումների գործըթնացի վերաբերյալ</w:t>
      </w:r>
      <w:r w:rsidRPr="00CB7384">
        <w:rPr>
          <w:lang w:val="hy-AM"/>
        </w:rPr>
        <w:t xml:space="preserve"> իրականացված հաշվեքննությունների արդյունքում արձանագրվել է, որ 2020-ին պետական մարմինների կողմից կնքված գնման պայմանագրերի 39.4</w:t>
      </w:r>
      <w:r w:rsidRPr="00186240">
        <w:rPr>
          <w:lang w:val="hy-AM"/>
        </w:rPr>
        <w:t>%</w:t>
      </w:r>
      <w:r w:rsidRPr="00CB7384">
        <w:rPr>
          <w:lang w:val="hy-AM"/>
        </w:rPr>
        <w:t xml:space="preserve">-ը կնքվել </w:t>
      </w:r>
      <w:r w:rsidR="00F231F9" w:rsidRPr="008D325C">
        <w:rPr>
          <w:lang w:val="hy-AM"/>
        </w:rPr>
        <w:t>է</w:t>
      </w:r>
      <w:r w:rsidRPr="00CB7384">
        <w:rPr>
          <w:lang w:val="hy-AM"/>
        </w:rPr>
        <w:t xml:space="preserve"> </w:t>
      </w:r>
      <w:r w:rsidRPr="003E5C30">
        <w:rPr>
          <w:lang w:val="hy-AM"/>
        </w:rPr>
        <w:t>մեկ անձից գնման ձևով</w:t>
      </w:r>
      <w:r w:rsidRPr="00CB7384">
        <w:rPr>
          <w:lang w:val="hy-AM"/>
        </w:rPr>
        <w:t>, որ</w:t>
      </w:r>
      <w:r w:rsidR="00F231F9" w:rsidRPr="008D325C">
        <w:rPr>
          <w:lang w:val="hy-AM"/>
        </w:rPr>
        <w:t>ի</w:t>
      </w:r>
      <w:r w:rsidRPr="00CB7384">
        <w:rPr>
          <w:lang w:val="hy-AM"/>
        </w:rPr>
        <w:t xml:space="preserve"> մասով ընդամենը գումարը կազմել է</w:t>
      </w:r>
      <w:r>
        <w:rPr>
          <w:lang w:val="hy-AM"/>
        </w:rPr>
        <w:t xml:space="preserve"> մոտ 125.6 մլրդ դրամ</w:t>
      </w:r>
      <w:r w:rsidRPr="00CB7384">
        <w:rPr>
          <w:lang w:val="hy-AM"/>
        </w:rPr>
        <w:t>: 2019թ. համեմատ` այս պայմանագրերի ընդամենը գումարի տեսակարար կշիռը բոլոր տեսակի պայմանագրերի ընդամենը գումարի մեջ աճել է 4.39</w:t>
      </w:r>
      <w:r w:rsidRPr="00186240">
        <w:rPr>
          <w:lang w:val="hy-AM"/>
        </w:rPr>
        <w:t>%</w:t>
      </w:r>
      <w:r w:rsidRPr="00CB7384">
        <w:rPr>
          <w:lang w:val="hy-AM"/>
        </w:rPr>
        <w:t xml:space="preserve">-ով: Նշենք նաև, որ 2020թ. ընթացքում կազմակերպված գնման ընթացակարգերին միջին </w:t>
      </w:r>
      <w:r w:rsidRPr="00CB7384">
        <w:rPr>
          <w:lang w:val="hy-AM"/>
        </w:rPr>
        <w:lastRenderedPageBreak/>
        <w:t xml:space="preserve">մասնակցության ցուցանիշը չի փոխվել 2019թ. համեմատությամբ և շարունակում է մնալ ցածր` 1.7 հատ մասնակցի մակարդակում: </w:t>
      </w:r>
    </w:p>
    <w:p w14:paraId="087C7D07" w14:textId="52A6F6B7" w:rsidR="002B340E" w:rsidRPr="005C21DB" w:rsidRDefault="00AD7438" w:rsidP="002B340E">
      <w:pPr>
        <w:spacing w:before="240"/>
        <w:ind w:firstLine="602"/>
        <w:rPr>
          <w:b/>
          <w:sz w:val="22"/>
          <w:lang w:val="hy-AM"/>
        </w:rPr>
      </w:pPr>
      <w:r w:rsidRPr="00524DAF">
        <w:rPr>
          <w:b/>
          <w:lang w:val="hy-AM"/>
        </w:rPr>
        <w:t xml:space="preserve">Անհրաժեշտ է գիտակցել, որ մեկ անձից գնման ընթացակարգերով կատարված գնումների ծավալային և քանակական ավելացումներն ավելի շուտ ոչ թե համակարգի անարդյունավետության, այլ </w:t>
      </w:r>
      <w:r>
        <w:rPr>
          <w:b/>
          <w:lang w:val="hy-AM"/>
        </w:rPr>
        <w:t>համապատասխան</w:t>
      </w:r>
      <w:r w:rsidRPr="00524DAF">
        <w:rPr>
          <w:b/>
          <w:lang w:val="hy-AM"/>
        </w:rPr>
        <w:t xml:space="preserve"> գործընթացներ</w:t>
      </w:r>
      <w:r>
        <w:rPr>
          <w:b/>
          <w:lang w:val="hy-AM"/>
        </w:rPr>
        <w:t>ն</w:t>
      </w:r>
      <w:r w:rsidRPr="00524DAF">
        <w:rPr>
          <w:b/>
          <w:lang w:val="hy-AM"/>
        </w:rPr>
        <w:t xml:space="preserve"> արդյունավետ չկառավարելու հետևանք են եղել: Ուստի, այս մասով ևս ՀՀ կառավարությունը պետք է նախևառաջ մտածի կառավարչական հմտությունները բարելավելու մասին:</w:t>
      </w:r>
    </w:p>
    <w:p w14:paraId="2AD536E2" w14:textId="3C19619B" w:rsidR="002B340E" w:rsidRPr="007A10F7" w:rsidRDefault="002B340E" w:rsidP="007A10F7">
      <w:pPr>
        <w:spacing w:before="240"/>
        <w:ind w:firstLine="0"/>
        <w:jc w:val="left"/>
        <w:rPr>
          <w:color w:val="00B0F0"/>
          <w:sz w:val="28"/>
          <w:lang w:val="hy-AM"/>
        </w:rPr>
      </w:pPr>
      <w:r w:rsidRPr="007A10F7">
        <w:rPr>
          <w:color w:val="00B0F0"/>
          <w:lang w:val="hy-AM"/>
        </w:rPr>
        <w:t>Պետական ծախսերի կատարողական</w:t>
      </w:r>
      <w:r w:rsidR="005C12E0">
        <w:rPr>
          <w:color w:val="00B0F0"/>
          <w:lang w:val="hy-AM"/>
        </w:rPr>
        <w:t>ը</w:t>
      </w:r>
      <w:r w:rsidRPr="007A10F7">
        <w:rPr>
          <w:color w:val="00B0F0"/>
          <w:lang w:val="hy-AM"/>
        </w:rPr>
        <w:t xml:space="preserve"> </w:t>
      </w:r>
      <w:r w:rsidR="003671B7">
        <w:rPr>
          <w:color w:val="00B0F0"/>
          <w:lang w:val="hy-AM"/>
        </w:rPr>
        <w:t>և</w:t>
      </w:r>
      <w:r w:rsidRPr="007A10F7">
        <w:rPr>
          <w:color w:val="00B0F0"/>
          <w:lang w:val="hy-AM"/>
        </w:rPr>
        <w:t xml:space="preserve"> կառուցվածքային բարելավումները</w:t>
      </w:r>
    </w:p>
    <w:p w14:paraId="50A73E90" w14:textId="6A53AE5C" w:rsidR="002B340E" w:rsidRDefault="002B340E" w:rsidP="002B340E">
      <w:pPr>
        <w:spacing w:before="240"/>
        <w:ind w:firstLine="602"/>
        <w:rPr>
          <w:lang w:val="hy-AM"/>
        </w:rPr>
      </w:pPr>
      <w:r w:rsidRPr="009C5C39">
        <w:rPr>
          <w:b/>
          <w:lang w:val="hy-AM"/>
        </w:rPr>
        <w:t>Պետական ծախսերի</w:t>
      </w:r>
      <w:r w:rsidR="009A09EA">
        <w:rPr>
          <w:rStyle w:val="FootnoteReference"/>
          <w:b/>
          <w:lang w:val="hy-AM"/>
        </w:rPr>
        <w:footnoteReference w:id="49"/>
      </w:r>
      <w:r w:rsidRPr="009C5C39">
        <w:rPr>
          <w:b/>
          <w:lang w:val="hy-AM"/>
        </w:rPr>
        <w:t xml:space="preserve"> կատարողական</w:t>
      </w:r>
      <w:r w:rsidR="007C7C38">
        <w:rPr>
          <w:b/>
          <w:lang w:val="hy-AM"/>
        </w:rPr>
        <w:t>ը</w:t>
      </w:r>
      <w:r w:rsidRPr="009C5C39">
        <w:rPr>
          <w:b/>
          <w:lang w:val="hy-AM"/>
        </w:rPr>
        <w:t xml:space="preserve">` </w:t>
      </w:r>
      <w:r>
        <w:rPr>
          <w:b/>
          <w:lang w:val="hy-AM"/>
        </w:rPr>
        <w:t>պլանային</w:t>
      </w:r>
      <w:r w:rsidRPr="009C5C39">
        <w:rPr>
          <w:b/>
          <w:lang w:val="hy-AM"/>
        </w:rPr>
        <w:t xml:space="preserve"> ցուցանիշների մասով ևս վատթարացել է:</w:t>
      </w:r>
      <w:r>
        <w:rPr>
          <w:lang w:val="hy-AM"/>
        </w:rPr>
        <w:t xml:space="preserve"> Պետական բյուջեի ընդհանուր ծախսերի միջին կատարողականը բյուջեի ճշտված պլանի նկատմամբ 2018-2020թթ. նվազել է 2015-2017թթ. համապատասխան ցուցանիշի համեմատ շուրջ 4.3 տոկոսային կետով` կազմելով 94.1</w:t>
      </w:r>
      <w:r w:rsidRPr="00186240">
        <w:rPr>
          <w:lang w:val="hy-AM"/>
        </w:rPr>
        <w:t>%</w:t>
      </w:r>
      <w:r>
        <w:rPr>
          <w:lang w:val="hy-AM"/>
        </w:rPr>
        <w:t xml:space="preserve">: </w:t>
      </w:r>
    </w:p>
    <w:p w14:paraId="3B17F893" w14:textId="712B2F3C" w:rsidR="002B340E" w:rsidRDefault="002B340E" w:rsidP="002B340E">
      <w:pPr>
        <w:spacing w:before="240"/>
        <w:ind w:firstLine="602"/>
        <w:rPr>
          <w:lang w:val="hy-AM"/>
        </w:rPr>
      </w:pPr>
      <w:r w:rsidRPr="00B13B13">
        <w:rPr>
          <w:b/>
          <w:lang w:val="hy-AM"/>
        </w:rPr>
        <w:t>Ընդ որում, ծախսերի կատարողական</w:t>
      </w:r>
      <w:r w:rsidR="00216CD3">
        <w:rPr>
          <w:b/>
          <w:lang w:val="hy-AM"/>
        </w:rPr>
        <w:t xml:space="preserve">ը </w:t>
      </w:r>
      <w:r w:rsidR="00761F50">
        <w:rPr>
          <w:b/>
          <w:lang w:val="hy-AM"/>
        </w:rPr>
        <w:t>նվազել</w:t>
      </w:r>
      <w:r w:rsidRPr="00B13B13">
        <w:rPr>
          <w:b/>
          <w:lang w:val="hy-AM"/>
        </w:rPr>
        <w:t xml:space="preserve"> է թե՛ ընթացիկ և թե՛ կապիտալ ծախսերի մասով:</w:t>
      </w:r>
      <w:r>
        <w:rPr>
          <w:b/>
          <w:lang w:val="hy-AM"/>
        </w:rPr>
        <w:t xml:space="preserve"> </w:t>
      </w:r>
      <w:r>
        <w:rPr>
          <w:lang w:val="hy-AM"/>
        </w:rPr>
        <w:t xml:space="preserve">Ընթացիկ ծախսերի կատարողականը 2015-2017թթ. </w:t>
      </w:r>
      <w:r w:rsidR="00440B0C">
        <w:rPr>
          <w:lang w:val="hy-AM"/>
        </w:rPr>
        <w:t>միջին հաշվով</w:t>
      </w:r>
      <w:r>
        <w:rPr>
          <w:lang w:val="hy-AM"/>
        </w:rPr>
        <w:t xml:space="preserve"> կազմել է 98.8</w:t>
      </w:r>
      <w:r w:rsidRPr="00186240">
        <w:rPr>
          <w:lang w:val="hy-AM"/>
        </w:rPr>
        <w:t xml:space="preserve">%, </w:t>
      </w:r>
      <w:r>
        <w:rPr>
          <w:lang w:val="hy-AM"/>
        </w:rPr>
        <w:t>իսկ 2018-2020թթ.` 2.2 տոկոսային կետով ավելի ցածր` 96.6</w:t>
      </w:r>
      <w:r w:rsidRPr="00186240">
        <w:rPr>
          <w:lang w:val="hy-AM"/>
        </w:rPr>
        <w:t xml:space="preserve">%: </w:t>
      </w:r>
      <w:r>
        <w:rPr>
          <w:lang w:val="hy-AM"/>
        </w:rPr>
        <w:t xml:space="preserve">Կապիտալ ծախսերի թերակատարումն ավելի ակնառու է: 2015-2017թթ. կապիտալ ծախսերը </w:t>
      </w:r>
      <w:r w:rsidR="00440B0C">
        <w:rPr>
          <w:lang w:val="hy-AM"/>
        </w:rPr>
        <w:t>միջին հաշվով</w:t>
      </w:r>
      <w:r>
        <w:rPr>
          <w:lang w:val="hy-AM"/>
        </w:rPr>
        <w:t xml:space="preserve"> կատարվել են 96.8</w:t>
      </w:r>
      <w:r w:rsidRPr="00186240">
        <w:rPr>
          <w:lang w:val="hy-AM"/>
        </w:rPr>
        <w:t>%-</w:t>
      </w:r>
      <w:r>
        <w:rPr>
          <w:lang w:val="hy-AM"/>
        </w:rPr>
        <w:t>ով, իսկ 2018-2020թթ.` միջին կատարողականը 18.1 տոկոսային կետով ավելի ցածր է կազմել` 78.6</w:t>
      </w:r>
      <w:r w:rsidRPr="00186240">
        <w:rPr>
          <w:lang w:val="hy-AM"/>
        </w:rPr>
        <w:t xml:space="preserve">%: </w:t>
      </w:r>
      <w:r>
        <w:rPr>
          <w:lang w:val="hy-AM"/>
        </w:rPr>
        <w:t xml:space="preserve">Թեև կապիտալ ծախսերի ձախողմանն անդրադարձել ենք վերլուծության երկրորդ բաժնում` պետական ներդրումների համատեքստում, պետք է փաստենք, որ </w:t>
      </w:r>
      <w:r w:rsidRPr="00A35A5A">
        <w:rPr>
          <w:b/>
          <w:lang w:val="hy-AM"/>
        </w:rPr>
        <w:t>ՀՀ կառավարության ցածր կատարողականը հանգեցրել է նաև հարկաբյուջետային քաղաքականության արդյունավետության թուլացմանը:</w:t>
      </w:r>
      <w:r>
        <w:rPr>
          <w:lang w:val="hy-AM"/>
        </w:rPr>
        <w:t xml:space="preserve"> </w:t>
      </w:r>
    </w:p>
    <w:p w14:paraId="21A7E636" w14:textId="20C01220" w:rsidR="002B340E" w:rsidRDefault="002B340E" w:rsidP="002B340E">
      <w:pPr>
        <w:spacing w:before="240"/>
        <w:ind w:firstLine="602"/>
        <w:rPr>
          <w:lang w:val="hy-AM"/>
        </w:rPr>
      </w:pPr>
      <w:r w:rsidRPr="00BE0560">
        <w:rPr>
          <w:b/>
          <w:lang w:val="hy-AM"/>
        </w:rPr>
        <w:t>Պետական ծախսերի կատարողականը շարունակում է անկումային մնալ նաև 2021</w:t>
      </w:r>
      <w:r w:rsidR="00020B29">
        <w:rPr>
          <w:b/>
          <w:lang w:val="hy-AM"/>
        </w:rPr>
        <w:t xml:space="preserve">թ. </w:t>
      </w:r>
      <w:r w:rsidRPr="00BE0560">
        <w:rPr>
          <w:b/>
          <w:lang w:val="hy-AM"/>
        </w:rPr>
        <w:t>ընթացքում:</w:t>
      </w:r>
      <w:r>
        <w:rPr>
          <w:lang w:val="hy-AM"/>
        </w:rPr>
        <w:t xml:space="preserve"> Այսպես, 2021թ. առաջին կիսամյակի արդյունքներով բյուջեի ընդհանուր ծախսերի կատարողականը կազմել է 86.6</w:t>
      </w:r>
      <w:r w:rsidRPr="00186240">
        <w:rPr>
          <w:lang w:val="hy-AM"/>
        </w:rPr>
        <w:t xml:space="preserve">%: </w:t>
      </w:r>
      <w:r>
        <w:rPr>
          <w:lang w:val="hy-AM"/>
        </w:rPr>
        <w:t>Ընթացիկ ծախսերի կատարողականը կազմել է 89.8</w:t>
      </w:r>
      <w:r w:rsidRPr="00186240">
        <w:rPr>
          <w:lang w:val="hy-AM"/>
        </w:rPr>
        <w:t xml:space="preserve">%, </w:t>
      </w:r>
      <w:r>
        <w:rPr>
          <w:lang w:val="hy-AM"/>
        </w:rPr>
        <w:t xml:space="preserve">իսկ կապիտալ ծախսերինը շատ ավելի </w:t>
      </w:r>
      <w:r w:rsidR="00020B29">
        <w:rPr>
          <w:lang w:val="hy-AM"/>
        </w:rPr>
        <w:t xml:space="preserve">ցածր </w:t>
      </w:r>
      <w:r>
        <w:rPr>
          <w:lang w:val="hy-AM"/>
        </w:rPr>
        <w:t>է` ընդամենը 63.7</w:t>
      </w:r>
      <w:r w:rsidRPr="00186240">
        <w:rPr>
          <w:lang w:val="hy-AM"/>
        </w:rPr>
        <w:t xml:space="preserve">%: </w:t>
      </w:r>
      <w:r w:rsidRPr="00303290">
        <w:rPr>
          <w:b/>
          <w:lang w:val="hy-AM"/>
        </w:rPr>
        <w:t>Ստացվում է, որ հետճգնաժամային ժամանակահատվածում, երբ առավել է ընգծված պետական ծախսերի ժամանակին և ողջ ծավալով իրականացնելու անհրաժեշտությունը` դրանք նախորդ տարիների ոգուն համահունչ շարունակում են թերակատարվել</w:t>
      </w:r>
      <w:r>
        <w:rPr>
          <w:b/>
          <w:lang w:val="hy-AM"/>
        </w:rPr>
        <w:t xml:space="preserve"> </w:t>
      </w:r>
      <w:r w:rsidRPr="00186240">
        <w:rPr>
          <w:b/>
          <w:lang w:val="hy-AM"/>
        </w:rPr>
        <w:lastRenderedPageBreak/>
        <w:t>(</w:t>
      </w:r>
      <w:r>
        <w:rPr>
          <w:b/>
          <w:lang w:val="hy-AM"/>
        </w:rPr>
        <w:t>հատկապես կապիտալ ծախսերի մասով</w:t>
      </w:r>
      <w:r w:rsidRPr="00186240">
        <w:rPr>
          <w:b/>
          <w:lang w:val="hy-AM"/>
        </w:rPr>
        <w:t>)</w:t>
      </w:r>
      <w:r w:rsidRPr="00303290">
        <w:rPr>
          <w:b/>
          <w:lang w:val="hy-AM"/>
        </w:rPr>
        <w:t xml:space="preserve">` կրճատելով </w:t>
      </w:r>
      <w:r>
        <w:rPr>
          <w:b/>
          <w:lang w:val="hy-AM"/>
        </w:rPr>
        <w:t>տնտեսության</w:t>
      </w:r>
      <w:r w:rsidRPr="00303290">
        <w:rPr>
          <w:b/>
          <w:lang w:val="hy-AM"/>
        </w:rPr>
        <w:t xml:space="preserve"> վերականգնման հնարավորությունները:</w:t>
      </w:r>
    </w:p>
    <w:p w14:paraId="4137720B" w14:textId="7E54D9F9" w:rsidR="002B340E" w:rsidRDefault="002B340E" w:rsidP="002B340E">
      <w:pPr>
        <w:spacing w:before="240"/>
        <w:ind w:firstLine="602"/>
        <w:rPr>
          <w:lang w:val="hy-AM"/>
        </w:rPr>
      </w:pPr>
      <w:r>
        <w:rPr>
          <w:b/>
          <w:lang w:val="hy-AM"/>
        </w:rPr>
        <w:t>Պետական ծ</w:t>
      </w:r>
      <w:r w:rsidRPr="00277238">
        <w:rPr>
          <w:b/>
          <w:lang w:val="hy-AM"/>
        </w:rPr>
        <w:t xml:space="preserve">ախսերի </w:t>
      </w:r>
      <w:r>
        <w:rPr>
          <w:b/>
          <w:lang w:val="hy-AM"/>
        </w:rPr>
        <w:t xml:space="preserve">կառուցվածքային </w:t>
      </w:r>
      <w:r w:rsidR="00DF1B53">
        <w:rPr>
          <w:b/>
          <w:lang w:val="hy-AM"/>
        </w:rPr>
        <w:t>բարելավումների</w:t>
      </w:r>
      <w:r w:rsidR="00DF1B53" w:rsidRPr="00277238">
        <w:rPr>
          <w:b/>
          <w:lang w:val="hy-AM"/>
        </w:rPr>
        <w:t xml:space="preserve"> </w:t>
      </w:r>
      <w:r w:rsidRPr="00277238">
        <w:rPr>
          <w:b/>
          <w:lang w:val="hy-AM"/>
        </w:rPr>
        <w:t xml:space="preserve">մասով կառավարության խոստումները ևս չեն </w:t>
      </w:r>
      <w:r>
        <w:rPr>
          <w:b/>
          <w:lang w:val="hy-AM"/>
        </w:rPr>
        <w:t>իրականացվել</w:t>
      </w:r>
      <w:r w:rsidRPr="00277238">
        <w:rPr>
          <w:b/>
          <w:lang w:val="hy-AM"/>
        </w:rPr>
        <w:t>:</w:t>
      </w:r>
      <w:r>
        <w:rPr>
          <w:lang w:val="hy-AM"/>
        </w:rPr>
        <w:t xml:space="preserve"> Այսպես, պետական բյուջեի ծախսերի կառուցվածքում ընթացիկ ծախսերի տեսակարար կշիռը 2018-2020թթ. ընթացքում աճել է, ինչի արդյունքում 2020-ին դրանց կշիռը ընդհանուր ծախսերում 2017-ի համեմատ կազմել է 3.8 տոկոսային կետով ավելի բարձր` 88.1</w:t>
      </w:r>
      <w:r w:rsidRPr="00186240">
        <w:rPr>
          <w:lang w:val="hy-AM"/>
        </w:rPr>
        <w:t xml:space="preserve">%, </w:t>
      </w:r>
      <w:r>
        <w:rPr>
          <w:lang w:val="hy-AM"/>
        </w:rPr>
        <w:t xml:space="preserve">իսկ կապիտալ ծախսերի կշիռը` հակառակը` նվազել է` </w:t>
      </w:r>
      <w:r w:rsidRPr="00186240">
        <w:rPr>
          <w:lang w:val="hy-AM"/>
        </w:rPr>
        <w:t>2017-</w:t>
      </w:r>
      <w:r>
        <w:rPr>
          <w:lang w:val="hy-AM"/>
        </w:rPr>
        <w:t>ի 15.8</w:t>
      </w:r>
      <w:r w:rsidRPr="00186240">
        <w:rPr>
          <w:lang w:val="hy-AM"/>
        </w:rPr>
        <w:t>%-</w:t>
      </w:r>
      <w:r>
        <w:rPr>
          <w:lang w:val="hy-AM"/>
        </w:rPr>
        <w:t>ի փոխարեն 2020-ին կազմելով 11.9</w:t>
      </w:r>
      <w:r w:rsidRPr="00186240">
        <w:rPr>
          <w:lang w:val="hy-AM"/>
        </w:rPr>
        <w:t>%</w:t>
      </w:r>
      <w:r>
        <w:rPr>
          <w:lang w:val="hy-AM"/>
        </w:rPr>
        <w:t xml:space="preserve">: </w:t>
      </w:r>
      <w:r w:rsidRPr="00277238">
        <w:rPr>
          <w:b/>
          <w:lang w:val="hy-AM"/>
        </w:rPr>
        <w:t xml:space="preserve">Ստացվում է, որ </w:t>
      </w:r>
      <w:r>
        <w:rPr>
          <w:b/>
          <w:lang w:val="hy-AM"/>
        </w:rPr>
        <w:t>պետական բյուջեի</w:t>
      </w:r>
      <w:r w:rsidRPr="00277238">
        <w:rPr>
          <w:b/>
          <w:lang w:val="hy-AM"/>
        </w:rPr>
        <w:t xml:space="preserve"> ծախսերի կառուցվածքում ենթակառուցվածքներին ուղղվող ծախսերի տեսակարար կշռի աստիճանաբար ավելացման խոստումը ոչ միայն չի կատարվել, այլև հակառակը` </w:t>
      </w:r>
      <w:r>
        <w:rPr>
          <w:b/>
          <w:lang w:val="hy-AM"/>
        </w:rPr>
        <w:t>այն ունեցել է</w:t>
      </w:r>
      <w:r w:rsidRPr="00277238">
        <w:rPr>
          <w:b/>
          <w:lang w:val="hy-AM"/>
        </w:rPr>
        <w:t xml:space="preserve"> </w:t>
      </w:r>
      <w:r>
        <w:rPr>
          <w:b/>
          <w:lang w:val="hy-AM"/>
        </w:rPr>
        <w:t>նվազող դինամիկա</w:t>
      </w:r>
      <w:r w:rsidRPr="00277238">
        <w:rPr>
          <w:b/>
          <w:lang w:val="hy-AM"/>
        </w:rPr>
        <w:t>:</w:t>
      </w:r>
      <w:r>
        <w:rPr>
          <w:lang w:val="hy-AM"/>
        </w:rPr>
        <w:t xml:space="preserve"> Ընդ որում, եթե նույնիսկ այդ ծախսերն իրականացվեին ամբողջ ծավալով </w:t>
      </w:r>
      <w:r w:rsidRPr="00186240">
        <w:rPr>
          <w:lang w:val="hy-AM"/>
        </w:rPr>
        <w:t>(</w:t>
      </w:r>
      <w:r>
        <w:rPr>
          <w:lang w:val="hy-AM"/>
        </w:rPr>
        <w:t>ճշտված պլանի չափով</w:t>
      </w:r>
      <w:r w:rsidRPr="00186240">
        <w:rPr>
          <w:lang w:val="hy-AM"/>
        </w:rPr>
        <w:t>)</w:t>
      </w:r>
      <w:r>
        <w:rPr>
          <w:lang w:val="hy-AM"/>
        </w:rPr>
        <w:t xml:space="preserve">, ապա կապիտալ ծախսերի կշիռը շարունակելու էր ցածր մնալ 2017 թվականի համապատասխան ցուցանիշից 3.7 տոկոսային կետով: </w:t>
      </w:r>
      <w:r w:rsidRPr="00F12A22">
        <w:rPr>
          <w:b/>
          <w:lang w:val="hy-AM"/>
        </w:rPr>
        <w:t>Ուստի</w:t>
      </w:r>
      <w:r w:rsidR="007D57CE" w:rsidRPr="008D325C">
        <w:rPr>
          <w:b/>
          <w:lang w:val="hy-AM"/>
        </w:rPr>
        <w:t>,</w:t>
      </w:r>
      <w:r w:rsidRPr="00F12A22">
        <w:rPr>
          <w:b/>
          <w:lang w:val="hy-AM"/>
        </w:rPr>
        <w:t xml:space="preserve"> կարող ենք արձանագրել, որ</w:t>
      </w:r>
      <w:r>
        <w:rPr>
          <w:lang w:val="hy-AM"/>
        </w:rPr>
        <w:t xml:space="preserve"> </w:t>
      </w:r>
      <w:r w:rsidRPr="00F12A22">
        <w:rPr>
          <w:b/>
          <w:lang w:val="hy-AM"/>
        </w:rPr>
        <w:t xml:space="preserve">ՀՀ կառավարության ծախսային քաղաքականությունն ուղղված չի եղել տնտեսության ենթակառուցվածքներին ուղղվող ծախսերի տեսակարար կշիռն ավելացնելուն: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2B340E" w:rsidRPr="00D00797" w14:paraId="365C1812" w14:textId="77777777" w:rsidTr="00FC2CE7">
        <w:tc>
          <w:tcPr>
            <w:tcW w:w="9062" w:type="dxa"/>
            <w:shd w:val="clear" w:color="auto" w:fill="EDEDED" w:themeFill="accent3" w:themeFillTint="33"/>
          </w:tcPr>
          <w:p w14:paraId="071EF454" w14:textId="77777777" w:rsidR="002B340E" w:rsidRPr="001F07C6" w:rsidRDefault="002B340E" w:rsidP="00FC2CE7">
            <w:pPr>
              <w:spacing w:before="60" w:after="60" w:line="276" w:lineRule="auto"/>
              <w:jc w:val="center"/>
              <w:rPr>
                <w:color w:val="00B0F0"/>
                <w:sz w:val="22"/>
                <w:lang w:val="hy-AM"/>
              </w:rPr>
            </w:pPr>
            <w:r w:rsidRPr="001F07C6">
              <w:rPr>
                <w:color w:val="00B0F0"/>
                <w:sz w:val="22"/>
                <w:lang w:val="hy-AM"/>
              </w:rPr>
              <w:t>ՀՀ կառավարության 2021թ. ծրագիր</w:t>
            </w:r>
          </w:p>
          <w:p w14:paraId="498FF64F" w14:textId="77777777" w:rsidR="002B340E" w:rsidRPr="00D37B8A" w:rsidRDefault="002B340E" w:rsidP="002B340E">
            <w:pPr>
              <w:pStyle w:val="ListParagraph"/>
              <w:numPr>
                <w:ilvl w:val="0"/>
                <w:numId w:val="25"/>
              </w:numPr>
              <w:spacing w:before="60" w:after="60" w:line="276" w:lineRule="auto"/>
              <w:ind w:left="313" w:hanging="266"/>
              <w:rPr>
                <w:sz w:val="20"/>
                <w:lang w:val="hy-AM"/>
              </w:rPr>
            </w:pPr>
            <w:r w:rsidRPr="00EC7875">
              <w:rPr>
                <w:sz w:val="20"/>
                <w:lang w:val="hy-AM"/>
              </w:rPr>
              <w:t xml:space="preserve">Ծախսային քաղաքականության արդյունավետության բարձրացման տեսանկյունից Կառավարությունը կշարունակի կարևորել հանրային ֆինանսների նպատակային, խնայողաբար և </w:t>
            </w:r>
            <w:r w:rsidRPr="00D37B8A">
              <w:rPr>
                <w:sz w:val="20"/>
                <w:lang w:val="hy-AM"/>
              </w:rPr>
              <w:t>ադյունավետ օգտագործումը</w:t>
            </w:r>
            <w:r w:rsidRPr="00EC7875">
              <w:rPr>
                <w:sz w:val="20"/>
                <w:lang w:val="hy-AM"/>
              </w:rPr>
              <w:t xml:space="preserve">: Այն ապահովելու նպատակով Կառավարությունը կներդնի «հավելյալ արժեքի ստեղծման նպատակադրում ունեցող արդի գործիքակազմ», որը թույլ կտա </w:t>
            </w:r>
            <w:r w:rsidRPr="00D37B8A">
              <w:rPr>
                <w:b/>
                <w:sz w:val="20"/>
                <w:lang w:val="hy-AM"/>
              </w:rPr>
              <w:t>հանրային ֆինանսների կառավարման համակարգում խորացնել որակական ցուցանիշների սահմանմամբ թիրախային բյուջետավորման համակարգի գործողությունը</w:t>
            </w:r>
            <w:r w:rsidRPr="00EC7875">
              <w:rPr>
                <w:sz w:val="20"/>
                <w:lang w:val="hy-AM"/>
              </w:rPr>
              <w:t>:</w:t>
            </w:r>
            <w:r>
              <w:rPr>
                <w:sz w:val="20"/>
                <w:lang w:val="hy-AM"/>
              </w:rPr>
              <w:t xml:space="preserve"> </w:t>
            </w:r>
            <w:r w:rsidRPr="00D37B8A">
              <w:rPr>
                <w:sz w:val="20"/>
                <w:lang w:val="hy-AM"/>
              </w:rPr>
              <w:t>Կառավարությունը շարունակելու է որդեգրել այնպիսի մոտեցում, որն անաչառ կհետևի պետական ծախսերի արդյունավետ և հասցեական իրականացմանը։</w:t>
            </w:r>
          </w:p>
          <w:p w14:paraId="32E90C97" w14:textId="77777777" w:rsidR="002B340E" w:rsidRPr="00EC7875" w:rsidRDefault="002B340E" w:rsidP="002B340E">
            <w:pPr>
              <w:pStyle w:val="ListParagraph"/>
              <w:numPr>
                <w:ilvl w:val="0"/>
                <w:numId w:val="25"/>
              </w:numPr>
              <w:spacing w:before="60" w:after="60" w:line="276" w:lineRule="auto"/>
              <w:ind w:left="313" w:hanging="266"/>
              <w:rPr>
                <w:sz w:val="20"/>
                <w:lang w:val="hy-AM"/>
              </w:rPr>
            </w:pPr>
            <w:r w:rsidRPr="00A54044">
              <w:rPr>
                <w:b/>
                <w:sz w:val="20"/>
                <w:lang w:val="hy-AM"/>
              </w:rPr>
              <w:t>Գնումների գործընթացների կազմակերպման արդյունավետության</w:t>
            </w:r>
            <w:r w:rsidRPr="00EC7875">
              <w:rPr>
                <w:sz w:val="20"/>
                <w:lang w:val="hy-AM"/>
              </w:rPr>
              <w:t xml:space="preserve"> բարձրացման նպատակով նախատեսվում է մինչև 2025 թ. ներդնել ժամանակակից ֆունկցիոնալ պահանջներին համապատասխան էլեկտրոնային գնումների նոր համակարգ, որը կբարձրացնի համակարգի թափանցիկությունը և արդյունավետությունը:</w:t>
            </w:r>
          </w:p>
          <w:p w14:paraId="3194D92B" w14:textId="77777777" w:rsidR="002B340E" w:rsidRPr="00186240" w:rsidRDefault="002B340E" w:rsidP="002B340E">
            <w:pPr>
              <w:pStyle w:val="ListParagraph"/>
              <w:numPr>
                <w:ilvl w:val="0"/>
                <w:numId w:val="25"/>
              </w:numPr>
              <w:spacing w:before="60" w:after="60" w:line="276" w:lineRule="auto"/>
              <w:ind w:left="313" w:hanging="266"/>
              <w:rPr>
                <w:lang w:val="hy-AM"/>
              </w:rPr>
            </w:pPr>
            <w:r w:rsidRPr="00EC7875">
              <w:rPr>
                <w:sz w:val="20"/>
                <w:lang w:val="hy-AM"/>
              </w:rPr>
              <w:t xml:space="preserve">Հայաստանի Հանրապետության պետական բյուջեի ծախսերի կառուցվածքում աստիճանաբար հնարավորության սահմաններում </w:t>
            </w:r>
            <w:r w:rsidRPr="00A54044">
              <w:rPr>
                <w:b/>
                <w:sz w:val="20"/>
                <w:lang w:val="hy-AM"/>
              </w:rPr>
              <w:t>կմեծանա ... ենթակառուցվածքներին ուղղվող ծախսերի տեսակարար կշիռը</w:t>
            </w:r>
            <w:r w:rsidRPr="00EC7875">
              <w:rPr>
                <w:sz w:val="20"/>
                <w:lang w:val="hy-AM"/>
              </w:rPr>
              <w:t>:</w:t>
            </w:r>
          </w:p>
        </w:tc>
      </w:tr>
    </w:tbl>
    <w:p w14:paraId="06142F07" w14:textId="77777777" w:rsidR="002B340E" w:rsidRDefault="002B340E" w:rsidP="002B340E">
      <w:pPr>
        <w:spacing w:before="240"/>
        <w:rPr>
          <w:lang w:val="hy-AM"/>
        </w:rPr>
      </w:pPr>
      <w:r>
        <w:rPr>
          <w:lang w:val="hy-AM"/>
        </w:rPr>
        <w:t xml:space="preserve">ՀՀ կառավարության 2021թ. ծրագրում պահպանվում է նախորդ ծրագրի ծախսային քաղաքականության հիմնական տրամաբանությունը: </w:t>
      </w:r>
    </w:p>
    <w:p w14:paraId="3EA911BF" w14:textId="77777777" w:rsidR="00865557" w:rsidRDefault="00865557" w:rsidP="002B340E">
      <w:pPr>
        <w:spacing w:before="240"/>
        <w:rPr>
          <w:lang w:val="hy-AM"/>
        </w:rPr>
      </w:pPr>
    </w:p>
    <w:p w14:paraId="4F5CD3C4" w14:textId="77777777" w:rsidR="002B340E" w:rsidRPr="00E0318B" w:rsidRDefault="002B340E" w:rsidP="00E0318B">
      <w:pPr>
        <w:spacing w:before="240"/>
        <w:ind w:firstLine="0"/>
        <w:rPr>
          <w:color w:val="00B0F0"/>
          <w:lang w:val="hy-AM"/>
        </w:rPr>
      </w:pPr>
      <w:r w:rsidRPr="00E0318B">
        <w:rPr>
          <w:color w:val="00B0F0"/>
          <w:lang w:val="hy-AM"/>
        </w:rPr>
        <w:lastRenderedPageBreak/>
        <w:t>Բյուջետային համակարգը</w:t>
      </w:r>
    </w:p>
    <w:p w14:paraId="3734F732" w14:textId="58A2F18D" w:rsidR="002B340E" w:rsidRDefault="002B340E" w:rsidP="002B340E">
      <w:pPr>
        <w:spacing w:before="240"/>
        <w:rPr>
          <w:lang w:val="hy-AM"/>
        </w:rPr>
      </w:pPr>
      <w:r>
        <w:rPr>
          <w:lang w:val="hy-AM"/>
        </w:rPr>
        <w:t xml:space="preserve">Ծրագրային բյուջետավորման համակարգի ամբողջական ներդրումը շարունակում է մնալ ՀՀ կառավարության խոստման տեսքով, թեև ինչպես արդեն նշել ենք, ՀՀ կառավարությունը դեռևս 2019թ. պնդում էր, որ ամբողջությամբ անցում է կատարել նշված ձևաչափին: Թե որքանով կհաջողվի մինչև ծրագրի ավարտն իրականացնել թիրախավորված բարեփոխումները` ցույց կտա ժամանակը: </w:t>
      </w:r>
      <w:r w:rsidR="00C3375F">
        <w:rPr>
          <w:b/>
          <w:lang w:val="hy-AM"/>
        </w:rPr>
        <w:t>Ա</w:t>
      </w:r>
      <w:r w:rsidRPr="00DD76F0">
        <w:rPr>
          <w:b/>
          <w:lang w:val="hy-AM"/>
        </w:rPr>
        <w:t>յս ուղղությամբ էական առաջընթաց արձանա</w:t>
      </w:r>
      <w:r>
        <w:rPr>
          <w:b/>
          <w:lang w:val="hy-AM"/>
        </w:rPr>
        <w:t>գ</w:t>
      </w:r>
      <w:r w:rsidRPr="00DD76F0">
        <w:rPr>
          <w:b/>
          <w:lang w:val="hy-AM"/>
        </w:rPr>
        <w:t xml:space="preserve">րելու համար ՀՀ կառավարությունը կազմակերպչական և կառավարչական լրջագույն </w:t>
      </w:r>
      <w:r>
        <w:rPr>
          <w:b/>
          <w:lang w:val="hy-AM"/>
        </w:rPr>
        <w:t>ջանք</w:t>
      </w:r>
      <w:r w:rsidRPr="00DD76F0">
        <w:rPr>
          <w:b/>
          <w:lang w:val="hy-AM"/>
        </w:rPr>
        <w:t xml:space="preserve"> պետք է ներդնի, ինչը սակայն դեռևս </w:t>
      </w:r>
      <w:r>
        <w:rPr>
          <w:b/>
          <w:lang w:val="hy-AM"/>
        </w:rPr>
        <w:t>տեղի չի ունեցել</w:t>
      </w:r>
      <w:r w:rsidRPr="00DD76F0">
        <w:rPr>
          <w:b/>
          <w:lang w:val="hy-AM"/>
        </w:rPr>
        <w:t>:</w:t>
      </w:r>
      <w:r>
        <w:rPr>
          <w:lang w:val="hy-AM"/>
        </w:rPr>
        <w:t xml:space="preserve"> </w:t>
      </w:r>
    </w:p>
    <w:p w14:paraId="7BA4BC1A" w14:textId="2DFE6EB7" w:rsidR="00C3375F" w:rsidRPr="00DD76F0" w:rsidRDefault="00C3375F" w:rsidP="002B340E">
      <w:pPr>
        <w:spacing w:before="240"/>
        <w:rPr>
          <w:lang w:val="hy-AM"/>
        </w:rPr>
      </w:pPr>
      <w:r w:rsidRPr="00DF65A4">
        <w:rPr>
          <w:b/>
          <w:lang w:val="hy-AM"/>
        </w:rPr>
        <w:t>Արդյունքում կարող ենք փաստել, որ հակառակ ՀՀ կառավարության պնդումների` ծրագրային բյուջետավորման համակարգն իր բոլոր բաղադրատարրերով դեռևս ներդրված չէ, իսկ կառավարության ձեռնարկած միջոցառումներն այս ուղղությամբ տեղի են ունենում բավական դանդաղ տեմպերով:</w:t>
      </w:r>
      <w:r>
        <w:rPr>
          <w:b/>
          <w:lang w:val="hy-AM"/>
        </w:rPr>
        <w:t xml:space="preserve"> Ավելին, ծրագրային բյուջետավորման համակարգի թերի ներդրված լինելու արդյունքում «անաչառ կերպով պետական մեքենայի վրա ծախսվող յուրաքանչյուր դրամի հասցեականության և արդյունավետության հետևից գնալու» ՀՀ կառավարության խոստումը ևս չի կարող լիարժեքորեն իրականություն դառնալ:</w:t>
      </w:r>
    </w:p>
    <w:p w14:paraId="05FC0FB6" w14:textId="77777777" w:rsidR="002B340E" w:rsidRPr="005A6D1A" w:rsidRDefault="002B340E" w:rsidP="005A6D1A">
      <w:pPr>
        <w:spacing w:before="240"/>
        <w:ind w:firstLine="0"/>
        <w:rPr>
          <w:color w:val="00B0F0"/>
          <w:lang w:val="hy-AM"/>
        </w:rPr>
      </w:pPr>
      <w:r w:rsidRPr="005A6D1A">
        <w:rPr>
          <w:color w:val="00B0F0"/>
          <w:lang w:val="hy-AM"/>
        </w:rPr>
        <w:t>Պետական գնումների գործընթացը</w:t>
      </w:r>
    </w:p>
    <w:p w14:paraId="31F364BA" w14:textId="0723A056" w:rsidR="002B340E" w:rsidRDefault="002B340E" w:rsidP="002B340E">
      <w:pPr>
        <w:spacing w:before="240"/>
        <w:rPr>
          <w:b/>
          <w:lang w:val="hy-AM"/>
        </w:rPr>
      </w:pPr>
      <w:r>
        <w:rPr>
          <w:lang w:val="hy-AM"/>
        </w:rPr>
        <w:t>Գնումների գործընթացի բարեփոխումները շարունակում են մնալ օրակարգային հարցերից մեկը: Սակայն այս առումով ևս, խոստացված բարեփոխումներն իրականացնելու համար ՀՀ կառավարությունը պետք է իր որդեգրած նախկին քաղաքականության համատեքստում էական վերանայումներ իրականացնի, քանի որ պարզապես ներդնելով էլեկտրոնային գնումների նոր համակարգ</w:t>
      </w:r>
      <w:r w:rsidR="00E90C28">
        <w:rPr>
          <w:lang w:val="hy-AM"/>
        </w:rPr>
        <w:t>՝</w:t>
      </w:r>
      <w:r>
        <w:rPr>
          <w:lang w:val="hy-AM"/>
        </w:rPr>
        <w:t xml:space="preserve"> խնդիրը կարող է չլուծվել: </w:t>
      </w:r>
      <w:r w:rsidR="00051C88" w:rsidRPr="008F5026">
        <w:rPr>
          <w:bCs/>
          <w:lang w:val="hy-AM"/>
        </w:rPr>
        <w:t>Ավելին, 2021</w:t>
      </w:r>
      <w:r w:rsidR="00C04E94" w:rsidRPr="008F5026">
        <w:rPr>
          <w:bCs/>
          <w:lang w:val="hy-AM"/>
        </w:rPr>
        <w:t xml:space="preserve"> թվականի համար մեկ անձից կատարվող գնումները 2020թ. դեկտեմբերի 1-ից 2021թ. նոյեմբերի 10-ն ընկած ժամանակահատվածում կազմել է մոտ 120.7 մլրդ դրամ, ինչը 21.3%-ով գերազանցում է 2020 թվականի համար 2019թ. դեկտեմբերի 1-ից 2020թ. նոյեմբերի 10-ն</w:t>
      </w:r>
      <w:r w:rsidR="00C04E94" w:rsidRPr="008F5026" w:rsidDel="00C04E94">
        <w:rPr>
          <w:bCs/>
          <w:lang w:val="hy-AM"/>
        </w:rPr>
        <w:t xml:space="preserve"> </w:t>
      </w:r>
      <w:r w:rsidR="00C04E94" w:rsidRPr="008F5026">
        <w:rPr>
          <w:bCs/>
          <w:lang w:val="hy-AM"/>
        </w:rPr>
        <w:t xml:space="preserve">ընկած ժամանակահատվածում մեկ անձից կատարված գնումների </w:t>
      </w:r>
      <w:r w:rsidR="000F49F8">
        <w:rPr>
          <w:bCs/>
          <w:lang w:val="hy-AM"/>
        </w:rPr>
        <w:t>ծավալ</w:t>
      </w:r>
      <w:r w:rsidR="004B24F4">
        <w:rPr>
          <w:bCs/>
          <w:lang w:val="hy-AM"/>
        </w:rPr>
        <w:t>ը</w:t>
      </w:r>
      <w:r w:rsidR="00E90C28" w:rsidRPr="008F5026">
        <w:rPr>
          <w:bCs/>
          <w:lang w:val="hy-AM"/>
        </w:rPr>
        <w:t xml:space="preserve"> (մոտ 99.5 մլրդ դրամ)</w:t>
      </w:r>
      <w:r w:rsidR="008C780C">
        <w:rPr>
          <w:rStyle w:val="FootnoteReference"/>
          <w:bCs/>
        </w:rPr>
        <w:footnoteReference w:id="50"/>
      </w:r>
      <w:r w:rsidR="00C04E94" w:rsidRPr="008F5026">
        <w:rPr>
          <w:bCs/>
          <w:lang w:val="hy-AM"/>
        </w:rPr>
        <w:t>։</w:t>
      </w:r>
      <w:r w:rsidR="00E90C28">
        <w:rPr>
          <w:b/>
          <w:lang w:val="hy-AM"/>
        </w:rPr>
        <w:t xml:space="preserve"> </w:t>
      </w:r>
    </w:p>
    <w:p w14:paraId="70DD7361" w14:textId="14EA2C36" w:rsidR="00AD7438" w:rsidRDefault="00AD7438" w:rsidP="002B340E">
      <w:pPr>
        <w:spacing w:before="240"/>
        <w:rPr>
          <w:b/>
          <w:lang w:val="hy-AM"/>
        </w:rPr>
      </w:pPr>
      <w:r w:rsidRPr="005C21DB">
        <w:rPr>
          <w:b/>
          <w:lang w:val="hy-AM"/>
        </w:rPr>
        <w:t>Այսպիսով</w:t>
      </w:r>
      <w:r w:rsidR="00B45809" w:rsidRPr="008D325C">
        <w:rPr>
          <w:b/>
          <w:lang w:val="hy-AM"/>
        </w:rPr>
        <w:t>,</w:t>
      </w:r>
      <w:r w:rsidRPr="005C21DB">
        <w:rPr>
          <w:b/>
          <w:lang w:val="hy-AM"/>
        </w:rPr>
        <w:t xml:space="preserve"> մեկ անձից գնման ընթացակարգով</w:t>
      </w:r>
      <w:r>
        <w:rPr>
          <w:b/>
          <w:lang w:val="hy-AM"/>
        </w:rPr>
        <w:t xml:space="preserve"> կատարված</w:t>
      </w:r>
      <w:r w:rsidRPr="005C21DB">
        <w:rPr>
          <w:b/>
          <w:lang w:val="hy-AM"/>
        </w:rPr>
        <w:t xml:space="preserve"> պետական գնումների </w:t>
      </w:r>
      <w:r w:rsidR="00A423B8">
        <w:rPr>
          <w:b/>
          <w:lang w:val="hy-AM"/>
        </w:rPr>
        <w:t xml:space="preserve">շարունակական </w:t>
      </w:r>
      <w:r w:rsidRPr="005C21DB">
        <w:rPr>
          <w:b/>
          <w:lang w:val="hy-AM"/>
        </w:rPr>
        <w:t>աճը հանգեցրել է մի կողմից գնումների գործընթացում առկա կոռուպցիոն ռիսկեր</w:t>
      </w:r>
      <w:r>
        <w:rPr>
          <w:b/>
          <w:lang w:val="hy-AM"/>
        </w:rPr>
        <w:t>ի աճի</w:t>
      </w:r>
      <w:r w:rsidRPr="005C21DB">
        <w:rPr>
          <w:b/>
          <w:lang w:val="hy-AM"/>
        </w:rPr>
        <w:t>, մյուս կողմից</w:t>
      </w:r>
      <w:r>
        <w:rPr>
          <w:b/>
          <w:lang w:val="hy-AM"/>
        </w:rPr>
        <w:t xml:space="preserve"> արդյունքում </w:t>
      </w:r>
      <w:r w:rsidRPr="005C21DB">
        <w:rPr>
          <w:b/>
          <w:lang w:val="hy-AM"/>
        </w:rPr>
        <w:t xml:space="preserve">նվազել են մրցութային եղանակով կազմակերպվող գնումները, ինչն իր հերթին </w:t>
      </w:r>
      <w:r w:rsidR="00E42822">
        <w:rPr>
          <w:b/>
          <w:lang w:val="hy-AM"/>
        </w:rPr>
        <w:lastRenderedPageBreak/>
        <w:t>նվազեց</w:t>
      </w:r>
      <w:r w:rsidRPr="005C21DB">
        <w:rPr>
          <w:b/>
          <w:lang w:val="hy-AM"/>
        </w:rPr>
        <w:t xml:space="preserve">րել է գնվող ապրանքների և ծառայությունների լավագույն օպտիմալ տարբերակն ընտրելու հնարավորությունները: </w:t>
      </w:r>
      <w:r>
        <w:rPr>
          <w:b/>
          <w:lang w:val="hy-AM"/>
        </w:rPr>
        <w:t>Ընդ որում, սա ևս խոսում է նաև ՀՀ կառավարության ցածր կառավարչական հմտությունների մասին:</w:t>
      </w:r>
    </w:p>
    <w:p w14:paraId="6FB3B8CD" w14:textId="77777777" w:rsidR="00B45809" w:rsidRDefault="00B45809" w:rsidP="002B340E">
      <w:pPr>
        <w:spacing w:before="240"/>
        <w:rPr>
          <w:lang w:val="hy-AM"/>
        </w:rPr>
      </w:pPr>
    </w:p>
    <w:p w14:paraId="616C0278" w14:textId="1B209ACF" w:rsidR="002B340E" w:rsidRPr="005A6D1A" w:rsidRDefault="002B340E" w:rsidP="005A6D1A">
      <w:pPr>
        <w:spacing w:before="240"/>
        <w:ind w:firstLine="0"/>
        <w:jc w:val="left"/>
        <w:rPr>
          <w:color w:val="00B0F0"/>
          <w:sz w:val="28"/>
          <w:lang w:val="hy-AM"/>
        </w:rPr>
      </w:pPr>
      <w:r w:rsidRPr="005A6D1A">
        <w:rPr>
          <w:color w:val="00B0F0"/>
          <w:lang w:val="hy-AM"/>
        </w:rPr>
        <w:t>Պետական ծախսերի կատարողական</w:t>
      </w:r>
      <w:r w:rsidR="00C36194">
        <w:rPr>
          <w:color w:val="00B0F0"/>
          <w:lang w:val="hy-AM"/>
        </w:rPr>
        <w:t>ը</w:t>
      </w:r>
      <w:r w:rsidRPr="005A6D1A">
        <w:rPr>
          <w:color w:val="00B0F0"/>
          <w:lang w:val="hy-AM"/>
        </w:rPr>
        <w:t xml:space="preserve"> և կառուցվածքային բարելավումները</w:t>
      </w:r>
    </w:p>
    <w:p w14:paraId="07A799B4" w14:textId="2E5184C4" w:rsidR="002B340E" w:rsidRDefault="002B340E" w:rsidP="002B340E">
      <w:pPr>
        <w:spacing w:before="240"/>
        <w:rPr>
          <w:lang w:val="hy-AM"/>
        </w:rPr>
      </w:pPr>
      <w:r>
        <w:rPr>
          <w:lang w:val="hy-AM"/>
        </w:rPr>
        <w:t>Պետական ծախսերի ցածր կատարողական</w:t>
      </w:r>
      <w:r w:rsidR="00AC7E1F">
        <w:rPr>
          <w:lang w:val="hy-AM"/>
        </w:rPr>
        <w:t>ը</w:t>
      </w:r>
      <w:r>
        <w:rPr>
          <w:lang w:val="hy-AM"/>
        </w:rPr>
        <w:t xml:space="preserve"> շարունակում է մնալ ՀՀ ներկայիս կառավարության լրջագույն բացթողումներից մեկը, և հավանաբար կշարունակի պահպանվել նաև առաջիկա տարիներին: 2021թ. առաջին կիսամյակի ամփոփիչ արդյունքները, ինչպես արդեն տեսանք, ևս մեկ անգամ փաստում են, որ ՀՀ կառավարությունն ունակ չէ ապահովել պետական ծախսերի ամբողջական և ժամանակին իրականացման գործառույթը: Սա հատկապես մտահոգիչ է հետճգնաժամային շրջանում տնտեսությունը խթանելու և տնտեսության ներուժը վերականգնելու համատեքստում: Առաջիկա տարիներին ծախսերի թերակատարման նույն տենդենցի պահպանումը` ինչպես պետության ընթացիկ պարտավորությունների կատարմանը, այնպես էլ տնտեսության ենթակառուցվածքների զարգացմանն ուղղվող ծախսերի մասով կարող է լրջագույն ռիսկեր առաջացնել երկրի թե</w:t>
      </w:r>
      <w:r w:rsidR="00AC7E1F" w:rsidRPr="00AC7E1F">
        <w:rPr>
          <w:lang w:val="hy-AM"/>
        </w:rPr>
        <w:t>՛</w:t>
      </w:r>
      <w:r>
        <w:rPr>
          <w:lang w:val="hy-AM"/>
        </w:rPr>
        <w:t xml:space="preserve"> տնտեսական, թե</w:t>
      </w:r>
      <w:r w:rsidR="00AC7E1F" w:rsidRPr="00AC7E1F">
        <w:rPr>
          <w:lang w:val="hy-AM"/>
        </w:rPr>
        <w:t>՛</w:t>
      </w:r>
      <w:r>
        <w:rPr>
          <w:lang w:val="hy-AM"/>
        </w:rPr>
        <w:t xml:space="preserve"> սոցիալական առաջընթացի համար: Ուստի, պարզապես խոստումներ հնչեցնելու փոխարեն անհրաժեշտ է գործնական քայլեր ձեռնարկել խնդիրները լուծելու համար:</w:t>
      </w:r>
    </w:p>
    <w:p w14:paraId="7C1F4E15" w14:textId="085F1DC3" w:rsidR="00197E49" w:rsidRDefault="002B340E" w:rsidP="002B340E">
      <w:pPr>
        <w:spacing w:before="240"/>
        <w:rPr>
          <w:lang w:val="hy-AM"/>
        </w:rPr>
      </w:pPr>
      <w:r>
        <w:rPr>
          <w:lang w:val="hy-AM"/>
        </w:rPr>
        <w:t xml:space="preserve">Պետական ծախսերի կառուցվածքային </w:t>
      </w:r>
      <w:r w:rsidR="0081252A">
        <w:rPr>
          <w:lang w:val="hy-AM"/>
        </w:rPr>
        <w:t xml:space="preserve">բարելավումների </w:t>
      </w:r>
      <w:r>
        <w:rPr>
          <w:lang w:val="hy-AM"/>
        </w:rPr>
        <w:t>խոստումը ևս մտահոգությունների տեղիք է տալիս: Թեև ենթակառուցվածքներին ուղղվող ծախսերի տեսակարար կշիռը մեծացնելու թիրախն արտացոլված է նաև 2022-2024թթ. ՄԺԾ ծրագրում` նախկինում գրանցված արդյունքները հիմքեր չեն ստեղծում կարծելու, որ այս մասով ևս ՀՀ կառավարությանը կհաջողվի նշանակալի արդյունքներ գրանցել: Այսպես, համաձայն 2022-2024թթ. ՄԺԾԾ-ի բարձր տնտեսական աճի սցենարի</w:t>
      </w:r>
      <w:r w:rsidR="00B45809" w:rsidRPr="008D325C">
        <w:rPr>
          <w:lang w:val="hy-AM"/>
        </w:rPr>
        <w:t>,</w:t>
      </w:r>
      <w:r>
        <w:rPr>
          <w:lang w:val="hy-AM"/>
        </w:rPr>
        <w:t xml:space="preserve"> 2026-ին` ՀՀ կառավարության 2021թ. ծրագրային ժամանակահատվածի վերջում, կապիտալ ծախսերի կշիռը ընդհանուր պետական ծախսերում պետք է կազմի 23.2</w:t>
      </w:r>
      <w:r w:rsidRPr="00186240">
        <w:rPr>
          <w:lang w:val="hy-AM"/>
        </w:rPr>
        <w:t xml:space="preserve">%, </w:t>
      </w:r>
      <w:r>
        <w:rPr>
          <w:lang w:val="hy-AM"/>
        </w:rPr>
        <w:t>այսինքն</w:t>
      </w:r>
      <w:r w:rsidR="00B45809" w:rsidRPr="008D325C">
        <w:rPr>
          <w:lang w:val="hy-AM"/>
        </w:rPr>
        <w:t>`</w:t>
      </w:r>
      <w:r>
        <w:rPr>
          <w:lang w:val="hy-AM"/>
        </w:rPr>
        <w:t xml:space="preserve"> 2020-ի համեմատ ցուցանիշը գրեթե պետք է կրկնապատկվի, ինչը չափազանց լավատեսական է հնչում, քանի որ նախկինում այս ծախսերը մի կողմից թերակատարվել են, մյուս կողմից` դրանց կշիռը գրանցել է միայն նվազող դինամիկա: </w:t>
      </w:r>
    </w:p>
    <w:p w14:paraId="43C03547" w14:textId="5E7ACB73" w:rsidR="002B340E" w:rsidRPr="00565C63" w:rsidRDefault="002B340E" w:rsidP="002B340E">
      <w:pPr>
        <w:spacing w:before="240"/>
        <w:rPr>
          <w:lang w:val="hy-AM"/>
        </w:rPr>
      </w:pPr>
      <w:r>
        <w:rPr>
          <w:lang w:val="hy-AM"/>
        </w:rPr>
        <w:t>Ընդ որում, ինչպես արդեն նշել ենք, ՄԺԾԾ-ում ներկայացված բարձր աճի սցենարի հիմքում դրված ծախսային քաղաքականությունն ընկած չ</w:t>
      </w:r>
      <w:r w:rsidR="00B45809">
        <w:rPr>
          <w:lang w:val="hy-AM"/>
        </w:rPr>
        <w:t>է</w:t>
      </w:r>
      <w:r>
        <w:rPr>
          <w:lang w:val="hy-AM"/>
        </w:rPr>
        <w:t xml:space="preserve"> ՀՀ կառավարության առաջիկա տարիների տնտեսական քաղաքականության հիմքում, ուստի անհասկանալի է, թե վերջինս ինչ գործիքակազմի միջոցով է </w:t>
      </w:r>
      <w:r>
        <w:rPr>
          <w:lang w:val="hy-AM"/>
        </w:rPr>
        <w:lastRenderedPageBreak/>
        <w:t>պատրաստվում ծրագրային ժամանակահատվածի ավարտին ապահովել նշված ցուցանիշը: Մյուս կողմից</w:t>
      </w:r>
      <w:r w:rsidR="00B45809">
        <w:rPr>
          <w:lang w:val="hy-AM"/>
        </w:rPr>
        <w:t>՝</w:t>
      </w:r>
      <w:r>
        <w:rPr>
          <w:lang w:val="hy-AM"/>
        </w:rPr>
        <w:t xml:space="preserve"> 2022-2024թթ. ՄԺԾԾ-ում ներկայացված հիմնական հարկաբյուջետային շրջանակի համաձայն կապիտալ ծախսերի կշիռն ընդհանուր ծախսերում 2024թ. պետք է կազմի շատ ավելի համեստ` 15.3</w:t>
      </w:r>
      <w:r w:rsidRPr="00186240">
        <w:rPr>
          <w:lang w:val="hy-AM"/>
        </w:rPr>
        <w:t xml:space="preserve">%, </w:t>
      </w:r>
      <w:r>
        <w:rPr>
          <w:lang w:val="hy-AM"/>
        </w:rPr>
        <w:t>ինչը ցածր է նույնիսկ 2017թ. համապատասխան ցուցանիշի 15.8</w:t>
      </w:r>
      <w:r w:rsidRPr="00186240">
        <w:rPr>
          <w:lang w:val="hy-AM"/>
        </w:rPr>
        <w:t>%</w:t>
      </w:r>
      <w:r>
        <w:rPr>
          <w:lang w:val="hy-AM"/>
        </w:rPr>
        <w:t xml:space="preserve"> մակարդակից: </w:t>
      </w:r>
      <w:r w:rsidRPr="000B0A5B">
        <w:rPr>
          <w:b/>
          <w:lang w:val="hy-AM"/>
        </w:rPr>
        <w:t xml:space="preserve">Ուստի, կարող ենք արձանագրել, որ ՀՀ կառավարության խոստումը պետական ծախսերի կառուցվածքային </w:t>
      </w:r>
      <w:r w:rsidR="008F5A23">
        <w:rPr>
          <w:b/>
          <w:lang w:val="hy-AM"/>
        </w:rPr>
        <w:t>բարելավումների</w:t>
      </w:r>
      <w:r w:rsidR="008F5A23" w:rsidRPr="000B0A5B">
        <w:rPr>
          <w:b/>
          <w:lang w:val="hy-AM"/>
        </w:rPr>
        <w:t xml:space="preserve"> </w:t>
      </w:r>
      <w:r w:rsidRPr="000B0A5B">
        <w:rPr>
          <w:b/>
          <w:lang w:val="hy-AM"/>
        </w:rPr>
        <w:t xml:space="preserve">մասով ևս անորոշ է </w:t>
      </w:r>
      <w:r w:rsidR="00444499">
        <w:rPr>
          <w:b/>
          <w:lang w:val="hy-AM"/>
        </w:rPr>
        <w:t>և</w:t>
      </w:r>
      <w:r w:rsidRPr="000B0A5B">
        <w:rPr>
          <w:b/>
          <w:lang w:val="hy-AM"/>
        </w:rPr>
        <w:t xml:space="preserve"> բավական լուրջ ռիսկեր է պարունակում:</w:t>
      </w:r>
    </w:p>
    <w:p w14:paraId="38CF40CA" w14:textId="6335F37E" w:rsidR="002B340E" w:rsidRPr="00151EA4" w:rsidRDefault="002B340E" w:rsidP="00A83257">
      <w:pPr>
        <w:pStyle w:val="Heading2"/>
      </w:pPr>
      <w:bookmarkStart w:id="18" w:name="_Toc88138990"/>
      <w:r w:rsidRPr="00151EA4">
        <w:t>4.</w:t>
      </w:r>
      <w:r w:rsidR="00817067">
        <w:t>2</w:t>
      </w:r>
      <w:r w:rsidRPr="00186240">
        <w:t xml:space="preserve">. </w:t>
      </w:r>
      <w:r w:rsidRPr="00151EA4">
        <w:t>Հարկաբյուջետային կանոնների պահպանումը` կայունության նախապայման</w:t>
      </w:r>
      <w:bookmarkEnd w:id="18"/>
    </w:p>
    <w:p w14:paraId="01F569B7" w14:textId="5C384694" w:rsidR="002B340E" w:rsidRDefault="002B340E" w:rsidP="009127B0">
      <w:pPr>
        <w:spacing w:before="240"/>
        <w:ind w:firstLine="602"/>
        <w:rPr>
          <w:lang w:val="hy-AM"/>
        </w:rPr>
      </w:pPr>
      <w:r>
        <w:rPr>
          <w:rFonts w:eastAsia="Calibri"/>
          <w:color w:val="000000"/>
          <w:lang w:val="hy-AM"/>
        </w:rPr>
        <w:t xml:space="preserve">Հանրային ֆինանսների կառավարման ոլորտում առանցքային դեր են կատարում հարկաբյուջետային կանոնները, որոնք ըստ էության սահմանագծում են երկրի հարկաբյուջետային քաղաքականության տրամաբանությունը` նպատակ ունենալով միջնաժամկետ հորիզոնում ապահովել հարկաբյուջետային կայուն միջավայր: </w:t>
      </w:r>
      <w:r w:rsidRPr="00591CEC">
        <w:rPr>
          <w:lang w:val="hy-AM"/>
        </w:rPr>
        <w:t>2017</w:t>
      </w:r>
      <w:r>
        <w:rPr>
          <w:lang w:val="hy-AM"/>
        </w:rPr>
        <w:t xml:space="preserve">թ. </w:t>
      </w:r>
      <w:r w:rsidRPr="00591CEC">
        <w:rPr>
          <w:lang w:val="hy-AM"/>
        </w:rPr>
        <w:t>մշակված</w:t>
      </w:r>
      <w:r w:rsidRPr="00D9319A">
        <w:rPr>
          <w:lang w:val="hy-AM"/>
        </w:rPr>
        <w:t xml:space="preserve"> առանցքային բարեփոխումների</w:t>
      </w:r>
      <w:r>
        <w:rPr>
          <w:lang w:val="hy-AM"/>
        </w:rPr>
        <w:t xml:space="preserve"> արդյունքում </w:t>
      </w:r>
      <w:r w:rsidRPr="00591CEC">
        <w:rPr>
          <w:lang w:val="hy-AM"/>
        </w:rPr>
        <w:t>2018</w:t>
      </w:r>
      <w:r>
        <w:rPr>
          <w:lang w:val="hy-AM"/>
        </w:rPr>
        <w:t xml:space="preserve">-ից </w:t>
      </w:r>
      <w:r w:rsidRPr="00591CEC">
        <w:rPr>
          <w:lang w:val="hy-AM"/>
        </w:rPr>
        <w:t xml:space="preserve">ուժի մեջ </w:t>
      </w:r>
      <w:r>
        <w:rPr>
          <w:lang w:val="hy-AM"/>
        </w:rPr>
        <w:t>է մտել</w:t>
      </w:r>
      <w:r w:rsidRPr="00D9319A">
        <w:rPr>
          <w:lang w:val="hy-AM"/>
        </w:rPr>
        <w:t xml:space="preserve"> </w:t>
      </w:r>
      <w:r w:rsidRPr="00591CEC">
        <w:rPr>
          <w:lang w:val="hy-AM"/>
        </w:rPr>
        <w:t>հարկաբյուջետային կանոնների արդիականացված համակարգ</w:t>
      </w:r>
      <w:r>
        <w:rPr>
          <w:lang w:val="hy-AM"/>
        </w:rPr>
        <w:t xml:space="preserve">ը, որի </w:t>
      </w:r>
      <w:r w:rsidR="00A558AE">
        <w:rPr>
          <w:lang w:val="hy-AM"/>
        </w:rPr>
        <w:t>առանձին կանոնները</w:t>
      </w:r>
      <w:r>
        <w:rPr>
          <w:lang w:val="hy-AM"/>
        </w:rPr>
        <w:t xml:space="preserve"> ներկայացված են Աղյուսակ </w:t>
      </w:r>
      <w:r w:rsidR="00704AA0">
        <w:rPr>
          <w:lang w:val="hy-AM"/>
        </w:rPr>
        <w:t>4</w:t>
      </w:r>
      <w:r w:rsidRPr="00186240">
        <w:rPr>
          <w:lang w:val="hy-AM"/>
        </w:rPr>
        <w:t>-</w:t>
      </w:r>
      <w:r>
        <w:rPr>
          <w:lang w:val="hy-AM"/>
        </w:rPr>
        <w:t>ում:</w:t>
      </w:r>
    </w:p>
    <w:p w14:paraId="3EE54D46" w14:textId="39896B46" w:rsidR="009127B0" w:rsidRDefault="009127B0" w:rsidP="009127B0">
      <w:pPr>
        <w:spacing w:before="240" w:after="0"/>
        <w:ind w:firstLine="602"/>
        <w:rPr>
          <w:lang w:val="hy-AM"/>
        </w:rPr>
      </w:pPr>
      <w:r>
        <w:rPr>
          <w:lang w:val="hy-AM"/>
        </w:rPr>
        <w:t>Սահմանված կանոնների</w:t>
      </w:r>
      <w:r w:rsidRPr="00D822CA">
        <w:rPr>
          <w:lang w:val="hy-AM"/>
        </w:rPr>
        <w:t xml:space="preserve"> </w:t>
      </w:r>
      <w:r>
        <w:rPr>
          <w:lang w:val="hy-AM"/>
        </w:rPr>
        <w:t>հիմնական տրամաբանությունն այն է, որ ՀՀ կառավարության պարտք/ՀՆԱ հարաբերակցության ռիսկային տարբեր մակարդակների դեպքում</w:t>
      </w:r>
      <w:r w:rsidRPr="00186240">
        <w:rPr>
          <w:lang w:val="hy-AM"/>
        </w:rPr>
        <w:t xml:space="preserve"> </w:t>
      </w:r>
      <w:r>
        <w:rPr>
          <w:lang w:val="hy-AM"/>
        </w:rPr>
        <w:t xml:space="preserve">աշխատեցվեն հարկաբյուջետային գործուն մեխանիզմներ` կայունությունը խաթարող ռիսկերը չեզոքացնելու համար: </w:t>
      </w:r>
    </w:p>
    <w:p w14:paraId="7DD24E52" w14:textId="77777777" w:rsidR="002B340E" w:rsidRDefault="002B340E" w:rsidP="002B340E">
      <w:pPr>
        <w:spacing w:after="0"/>
        <w:ind w:firstLine="602"/>
        <w:rPr>
          <w:lang w:val="hy-AM"/>
        </w:rPr>
      </w:pPr>
    </w:p>
    <w:p w14:paraId="0813931C" w14:textId="77777777" w:rsidR="002B340E" w:rsidRPr="007F43E7" w:rsidRDefault="002B340E" w:rsidP="002B340E">
      <w:pPr>
        <w:spacing w:after="120"/>
        <w:ind w:firstLine="602"/>
        <w:jc w:val="center"/>
        <w:rPr>
          <w:b/>
          <w:lang w:val="hy-AM"/>
        </w:rPr>
      </w:pPr>
      <w:r w:rsidRPr="007F43E7">
        <w:rPr>
          <w:b/>
          <w:lang w:val="hy-AM"/>
        </w:rPr>
        <w:t xml:space="preserve">Աղյուսակ </w:t>
      </w:r>
      <w:r>
        <w:rPr>
          <w:b/>
          <w:lang w:val="hy-AM"/>
        </w:rPr>
        <w:t>4</w:t>
      </w:r>
      <w:r w:rsidRPr="007F43E7">
        <w:rPr>
          <w:b/>
          <w:lang w:val="hy-AM"/>
        </w:rPr>
        <w:t>. ՀՀ հարկաբյուջետային կանոնները</w:t>
      </w:r>
    </w:p>
    <w:tbl>
      <w:tblPr>
        <w:tblStyle w:val="TableGrid"/>
        <w:tblW w:w="9925" w:type="dxa"/>
        <w:tblInd w:w="-431" w:type="dxa"/>
        <w:tblLook w:val="04A0" w:firstRow="1" w:lastRow="0" w:firstColumn="1" w:lastColumn="0" w:noHBand="0" w:noVBand="1"/>
      </w:tblPr>
      <w:tblGrid>
        <w:gridCol w:w="2269"/>
        <w:gridCol w:w="3828"/>
        <w:gridCol w:w="3828"/>
      </w:tblGrid>
      <w:tr w:rsidR="002B340E" w:rsidRPr="00D645C6" w14:paraId="7BBA7B8A" w14:textId="77777777" w:rsidTr="00865557">
        <w:tc>
          <w:tcPr>
            <w:tcW w:w="2269" w:type="dxa"/>
            <w:shd w:val="clear" w:color="auto" w:fill="002060"/>
            <w:vAlign w:val="center"/>
          </w:tcPr>
          <w:p w14:paraId="71FF3B43" w14:textId="77777777" w:rsidR="002B340E" w:rsidRPr="00D645C6" w:rsidRDefault="002B340E" w:rsidP="00FC2CE7">
            <w:pPr>
              <w:spacing w:before="60" w:after="60"/>
              <w:ind w:firstLine="0"/>
              <w:jc w:val="center"/>
              <w:rPr>
                <w:b/>
                <w:sz w:val="20"/>
                <w:szCs w:val="20"/>
                <w:lang w:val="hy-AM"/>
              </w:rPr>
            </w:pPr>
            <w:r w:rsidRPr="00D645C6">
              <w:rPr>
                <w:b/>
                <w:sz w:val="20"/>
                <w:szCs w:val="20"/>
                <w:lang w:val="hy-AM"/>
              </w:rPr>
              <w:t>Կառավարության պարտքը</w:t>
            </w:r>
          </w:p>
        </w:tc>
        <w:tc>
          <w:tcPr>
            <w:tcW w:w="3828" w:type="dxa"/>
            <w:shd w:val="clear" w:color="auto" w:fill="002060"/>
            <w:vAlign w:val="center"/>
          </w:tcPr>
          <w:p w14:paraId="67916BFA" w14:textId="77777777" w:rsidR="002B340E" w:rsidRPr="00D645C6" w:rsidRDefault="002B340E" w:rsidP="00FC2CE7">
            <w:pPr>
              <w:spacing w:before="60" w:after="60"/>
              <w:ind w:firstLine="0"/>
              <w:jc w:val="center"/>
              <w:rPr>
                <w:b/>
                <w:sz w:val="20"/>
                <w:szCs w:val="20"/>
                <w:lang w:val="hy-AM"/>
              </w:rPr>
            </w:pPr>
            <w:r w:rsidRPr="00D645C6">
              <w:rPr>
                <w:b/>
                <w:sz w:val="20"/>
                <w:szCs w:val="20"/>
                <w:lang w:val="hy-AM"/>
              </w:rPr>
              <w:t>Ծախսերի կանոնը</w:t>
            </w:r>
          </w:p>
        </w:tc>
        <w:tc>
          <w:tcPr>
            <w:tcW w:w="3828" w:type="dxa"/>
            <w:shd w:val="clear" w:color="auto" w:fill="002060"/>
            <w:vAlign w:val="center"/>
          </w:tcPr>
          <w:p w14:paraId="50E852BA" w14:textId="77777777" w:rsidR="002B340E" w:rsidRPr="00D645C6" w:rsidRDefault="002B340E" w:rsidP="00FC2CE7">
            <w:pPr>
              <w:spacing w:before="60" w:after="60"/>
              <w:ind w:firstLine="0"/>
              <w:jc w:val="center"/>
              <w:rPr>
                <w:b/>
                <w:sz w:val="20"/>
                <w:szCs w:val="20"/>
                <w:lang w:val="hy-AM"/>
              </w:rPr>
            </w:pPr>
            <w:r w:rsidRPr="00D645C6">
              <w:rPr>
                <w:b/>
                <w:sz w:val="20"/>
                <w:szCs w:val="20"/>
                <w:lang w:val="hy-AM"/>
              </w:rPr>
              <w:t>Պարտքի կանոնը</w:t>
            </w:r>
          </w:p>
        </w:tc>
      </w:tr>
      <w:tr w:rsidR="002B340E" w:rsidRPr="00D645C6" w14:paraId="5E66EA91" w14:textId="77777777" w:rsidTr="00865557">
        <w:tc>
          <w:tcPr>
            <w:tcW w:w="2269" w:type="dxa"/>
            <w:vAlign w:val="center"/>
          </w:tcPr>
          <w:p w14:paraId="3C225265" w14:textId="77777777" w:rsidR="002B340E" w:rsidRPr="00D645C6" w:rsidRDefault="002B340E" w:rsidP="00FC2CE7">
            <w:pPr>
              <w:spacing w:before="60" w:after="60"/>
              <w:ind w:firstLine="0"/>
              <w:jc w:val="left"/>
              <w:rPr>
                <w:i/>
                <w:sz w:val="20"/>
                <w:szCs w:val="20"/>
              </w:rPr>
            </w:pPr>
            <m:oMathPara>
              <m:oMathParaPr>
                <m:jc m:val="center"/>
              </m:oMathParaPr>
              <m:oMath>
                <m:r>
                  <w:rPr>
                    <w:rFonts w:ascii="Cambria Math" w:hAnsi="Cambria Math"/>
                    <w:sz w:val="20"/>
                    <w:szCs w:val="20"/>
                  </w:rPr>
                  <m:t>40%≤</m:t>
                </m:r>
                <m:f>
                  <m:fPr>
                    <m:ctrlPr>
                      <w:rPr>
                        <w:rFonts w:ascii="Cambria Math" w:hAnsi="Cambria Math"/>
                        <w:i/>
                        <w:sz w:val="20"/>
                        <w:szCs w:val="20"/>
                        <w:lang w:val="hy-AM"/>
                      </w:rPr>
                    </m:ctrlPr>
                  </m:fPr>
                  <m:num>
                    <m:r>
                      <w:rPr>
                        <w:rFonts w:ascii="Cambria Math" w:hAnsi="Cambria Math"/>
                        <w:sz w:val="20"/>
                        <w:szCs w:val="20"/>
                        <w:lang w:val="hy-AM"/>
                      </w:rPr>
                      <m:t>Պարտք</m:t>
                    </m:r>
                    <m:ctrlPr>
                      <w:rPr>
                        <w:rFonts w:ascii="Cambria Math" w:hAnsi="Cambria Math"/>
                        <w:i/>
                        <w:sz w:val="20"/>
                        <w:szCs w:val="20"/>
                      </w:rPr>
                    </m:ctrlPr>
                  </m:num>
                  <m:den>
                    <m:r>
                      <w:rPr>
                        <w:rFonts w:ascii="Cambria Math" w:hAnsi="Cambria Math"/>
                        <w:sz w:val="20"/>
                        <w:szCs w:val="20"/>
                        <w:lang w:val="hy-AM"/>
                      </w:rPr>
                      <m:t>ՀՆԱ</m:t>
                    </m:r>
                  </m:den>
                </m:f>
                <m:r>
                  <w:rPr>
                    <w:rFonts w:ascii="Cambria Math" w:hAnsi="Cambria Math"/>
                    <w:sz w:val="20"/>
                    <w:szCs w:val="20"/>
                    <w:lang w:val="hy-AM"/>
                  </w:rPr>
                  <m:t>&lt;50</m:t>
                </m:r>
                <m:r>
                  <w:rPr>
                    <w:rFonts w:ascii="Cambria Math" w:hAnsi="Cambria Math"/>
                    <w:sz w:val="20"/>
                    <w:szCs w:val="20"/>
                  </w:rPr>
                  <m:t>%</m:t>
                </m:r>
              </m:oMath>
            </m:oMathPara>
          </w:p>
        </w:tc>
        <w:tc>
          <w:tcPr>
            <w:tcW w:w="3828" w:type="dxa"/>
            <w:vAlign w:val="center"/>
          </w:tcPr>
          <w:p w14:paraId="0BBFD0E0" w14:textId="77777777" w:rsidR="002B340E" w:rsidRPr="00D645C6" w:rsidRDefault="002B340E" w:rsidP="002B340E">
            <w:pPr>
              <w:pStyle w:val="ListParagraph"/>
              <w:numPr>
                <w:ilvl w:val="0"/>
                <w:numId w:val="19"/>
              </w:numPr>
              <w:spacing w:before="60" w:after="60"/>
              <w:ind w:left="176" w:hanging="261"/>
              <w:jc w:val="left"/>
              <w:rPr>
                <w:sz w:val="20"/>
                <w:szCs w:val="20"/>
                <w:lang w:val="hy-AM"/>
              </w:rPr>
            </w:pPr>
            <w:r w:rsidRPr="00D645C6">
              <w:rPr>
                <w:sz w:val="20"/>
                <w:szCs w:val="20"/>
                <w:lang w:val="hy-AM"/>
              </w:rPr>
              <w:t>Կապիտալ ծախսեր &gt; Պակասուրդ</w:t>
            </w:r>
          </w:p>
        </w:tc>
        <w:tc>
          <w:tcPr>
            <w:tcW w:w="3828" w:type="dxa"/>
            <w:vAlign w:val="center"/>
          </w:tcPr>
          <w:p w14:paraId="58BCCF3B" w14:textId="77777777" w:rsidR="002B340E" w:rsidRPr="00D645C6" w:rsidRDefault="002B340E" w:rsidP="00FC2CE7">
            <w:pPr>
              <w:spacing w:before="60" w:after="60"/>
              <w:ind w:firstLine="0"/>
              <w:jc w:val="left"/>
              <w:rPr>
                <w:sz w:val="20"/>
                <w:szCs w:val="20"/>
              </w:rPr>
            </w:pPr>
            <w:r w:rsidRPr="00D645C6">
              <w:rPr>
                <w:sz w:val="20"/>
                <w:szCs w:val="20"/>
              </w:rPr>
              <w:t>−</w:t>
            </w:r>
          </w:p>
        </w:tc>
      </w:tr>
      <w:tr w:rsidR="002B340E" w:rsidRPr="00D00797" w14:paraId="52F74A30" w14:textId="77777777" w:rsidTr="00865557">
        <w:tc>
          <w:tcPr>
            <w:tcW w:w="2269" w:type="dxa"/>
            <w:vAlign w:val="center"/>
          </w:tcPr>
          <w:p w14:paraId="2D41983D" w14:textId="77777777" w:rsidR="002B340E" w:rsidRPr="00D645C6" w:rsidRDefault="002B340E" w:rsidP="00FC2CE7">
            <w:pPr>
              <w:spacing w:before="60" w:after="60"/>
              <w:ind w:firstLine="0"/>
              <w:jc w:val="left"/>
              <w:rPr>
                <w:sz w:val="20"/>
                <w:szCs w:val="20"/>
                <w:lang w:val="hy-AM"/>
              </w:rPr>
            </w:pPr>
            <m:oMathPara>
              <m:oMath>
                <m:r>
                  <w:rPr>
                    <w:rFonts w:ascii="Cambria Math" w:hAnsi="Cambria Math"/>
                    <w:sz w:val="20"/>
                    <w:szCs w:val="20"/>
                  </w:rPr>
                  <m:t>50%≤</m:t>
                </m:r>
                <m:f>
                  <m:fPr>
                    <m:ctrlPr>
                      <w:rPr>
                        <w:rFonts w:ascii="Cambria Math" w:hAnsi="Cambria Math"/>
                        <w:i/>
                        <w:sz w:val="20"/>
                        <w:szCs w:val="20"/>
                        <w:lang w:val="hy-AM"/>
                      </w:rPr>
                    </m:ctrlPr>
                  </m:fPr>
                  <m:num>
                    <m:r>
                      <w:rPr>
                        <w:rFonts w:ascii="Cambria Math" w:hAnsi="Cambria Math"/>
                        <w:sz w:val="20"/>
                        <w:szCs w:val="20"/>
                        <w:lang w:val="hy-AM"/>
                      </w:rPr>
                      <m:t>Պարտք</m:t>
                    </m:r>
                    <m:ctrlPr>
                      <w:rPr>
                        <w:rFonts w:ascii="Cambria Math" w:hAnsi="Cambria Math"/>
                        <w:i/>
                        <w:sz w:val="20"/>
                        <w:szCs w:val="20"/>
                      </w:rPr>
                    </m:ctrlPr>
                  </m:num>
                  <m:den>
                    <m:r>
                      <w:rPr>
                        <w:rFonts w:ascii="Cambria Math" w:hAnsi="Cambria Math"/>
                        <w:sz w:val="20"/>
                        <w:szCs w:val="20"/>
                        <w:lang w:val="hy-AM"/>
                      </w:rPr>
                      <m:t>ՀՆԱ</m:t>
                    </m:r>
                  </m:den>
                </m:f>
                <m:r>
                  <w:rPr>
                    <w:rFonts w:ascii="Cambria Math" w:hAnsi="Cambria Math"/>
                    <w:sz w:val="20"/>
                    <w:szCs w:val="20"/>
                    <w:lang w:val="hy-AM"/>
                  </w:rPr>
                  <m:t>&lt;60</m:t>
                </m:r>
                <m:r>
                  <w:rPr>
                    <w:rFonts w:ascii="Cambria Math" w:hAnsi="Cambria Math"/>
                    <w:sz w:val="20"/>
                    <w:szCs w:val="20"/>
                  </w:rPr>
                  <m:t>%</m:t>
                </m:r>
              </m:oMath>
            </m:oMathPara>
          </w:p>
        </w:tc>
        <w:tc>
          <w:tcPr>
            <w:tcW w:w="3828" w:type="dxa"/>
            <w:vAlign w:val="center"/>
          </w:tcPr>
          <w:p w14:paraId="487A34A6" w14:textId="77777777" w:rsidR="002B340E" w:rsidRPr="00D645C6" w:rsidRDefault="002B340E" w:rsidP="002B340E">
            <w:pPr>
              <w:pStyle w:val="ListParagraph"/>
              <w:numPr>
                <w:ilvl w:val="0"/>
                <w:numId w:val="17"/>
              </w:numPr>
              <w:spacing w:before="60" w:after="60"/>
              <w:ind w:left="176" w:hanging="261"/>
              <w:jc w:val="left"/>
              <w:rPr>
                <w:sz w:val="20"/>
                <w:szCs w:val="20"/>
                <w:lang w:val="hy-AM"/>
              </w:rPr>
            </w:pPr>
            <w:r w:rsidRPr="00D645C6">
              <w:rPr>
                <w:sz w:val="20"/>
                <w:szCs w:val="20"/>
                <w:lang w:val="hy-AM"/>
              </w:rPr>
              <w:t>Կապիտալ ծախսեր &gt; Պակասուրդ</w:t>
            </w:r>
          </w:p>
          <w:p w14:paraId="1342B201" w14:textId="77777777" w:rsidR="002B340E" w:rsidRPr="00D645C6" w:rsidRDefault="002B340E" w:rsidP="002B340E">
            <w:pPr>
              <w:pStyle w:val="ListParagraph"/>
              <w:numPr>
                <w:ilvl w:val="0"/>
                <w:numId w:val="17"/>
              </w:numPr>
              <w:spacing w:before="60" w:after="60"/>
              <w:ind w:left="176" w:hanging="261"/>
              <w:jc w:val="left"/>
              <w:rPr>
                <w:sz w:val="20"/>
                <w:szCs w:val="20"/>
                <w:lang w:val="hy-AM"/>
              </w:rPr>
            </w:pPr>
            <w:r w:rsidRPr="00D645C6">
              <w:rPr>
                <w:sz w:val="20"/>
                <w:szCs w:val="20"/>
                <w:lang w:val="hy-AM"/>
              </w:rPr>
              <w:t>Ընթացիկ առաջնային ծախսերի աճը սահմանափակվում է նախորդ 7 տարիների անվանական ՀՆԱ-ների միջին աճով</w:t>
            </w:r>
          </w:p>
          <w:p w14:paraId="00B380D9" w14:textId="75F88E67" w:rsidR="002B340E" w:rsidRPr="00D645C6" w:rsidRDefault="002B340E" w:rsidP="002B340E">
            <w:pPr>
              <w:pStyle w:val="ListParagraph"/>
              <w:numPr>
                <w:ilvl w:val="0"/>
                <w:numId w:val="17"/>
              </w:numPr>
              <w:spacing w:before="60" w:after="60"/>
              <w:ind w:left="176" w:hanging="261"/>
              <w:jc w:val="left"/>
              <w:rPr>
                <w:sz w:val="20"/>
                <w:szCs w:val="20"/>
                <w:lang w:val="hy-AM"/>
              </w:rPr>
            </w:pPr>
            <w:r w:rsidRPr="00D645C6">
              <w:rPr>
                <w:sz w:val="20"/>
                <w:szCs w:val="20"/>
                <w:lang w:val="hy-AM"/>
              </w:rPr>
              <w:t>Ծախսային կանոն</w:t>
            </w:r>
            <w:r w:rsidR="006771A2">
              <w:rPr>
                <w:sz w:val="20"/>
                <w:szCs w:val="20"/>
                <w:lang w:val="hy-AM"/>
              </w:rPr>
              <w:t>ներ</w:t>
            </w:r>
            <w:r w:rsidRPr="00D645C6">
              <w:rPr>
                <w:sz w:val="20"/>
                <w:szCs w:val="20"/>
                <w:lang w:val="hy-AM"/>
              </w:rPr>
              <w:t>ը չ</w:t>
            </w:r>
            <w:r w:rsidR="006771A2">
              <w:rPr>
                <w:sz w:val="20"/>
                <w:szCs w:val="20"/>
                <w:lang w:val="hy-AM"/>
              </w:rPr>
              <w:t>են</w:t>
            </w:r>
            <w:r w:rsidRPr="00D645C6">
              <w:rPr>
                <w:sz w:val="20"/>
                <w:szCs w:val="20"/>
                <w:lang w:val="hy-AM"/>
              </w:rPr>
              <w:t xml:space="preserve"> կիրառվում, եթե կան բացառիկ դեպքեր</w:t>
            </w:r>
          </w:p>
        </w:tc>
        <w:tc>
          <w:tcPr>
            <w:tcW w:w="3828" w:type="dxa"/>
            <w:vAlign w:val="center"/>
          </w:tcPr>
          <w:p w14:paraId="0162A5F4" w14:textId="6CDC8C11" w:rsidR="002B340E" w:rsidRPr="00D645C6" w:rsidRDefault="002B340E" w:rsidP="002B340E">
            <w:pPr>
              <w:pStyle w:val="ListParagraph"/>
              <w:numPr>
                <w:ilvl w:val="0"/>
                <w:numId w:val="18"/>
              </w:numPr>
              <w:spacing w:before="60" w:after="60"/>
              <w:ind w:left="176" w:hanging="257"/>
              <w:jc w:val="left"/>
              <w:rPr>
                <w:sz w:val="20"/>
                <w:szCs w:val="20"/>
                <w:lang w:val="hy-AM"/>
              </w:rPr>
            </w:pPr>
            <w:r w:rsidRPr="00D645C6">
              <w:rPr>
                <w:sz w:val="20"/>
                <w:szCs w:val="20"/>
                <w:lang w:val="hy-AM"/>
              </w:rPr>
              <w:t>Պարտավորություն ստանձնել ՀՀ կառավարության պարտքի հետագիծը 5 տարիների ընթացքում նվազեցնել</w:t>
            </w:r>
            <w:r w:rsidR="00444499">
              <w:rPr>
                <w:sz w:val="20"/>
                <w:szCs w:val="20"/>
                <w:lang w:val="hy-AM"/>
              </w:rPr>
              <w:t>ու</w:t>
            </w:r>
            <w:r w:rsidRPr="00D645C6">
              <w:rPr>
                <w:sz w:val="20"/>
                <w:szCs w:val="20"/>
                <w:lang w:val="hy-AM"/>
              </w:rPr>
              <w:t xml:space="preserve"> 50</w:t>
            </w:r>
            <w:r w:rsidRPr="00186240">
              <w:rPr>
                <w:sz w:val="20"/>
                <w:szCs w:val="20"/>
                <w:lang w:val="hy-AM"/>
              </w:rPr>
              <w:t>%-</w:t>
            </w:r>
            <w:r w:rsidRPr="00D645C6">
              <w:rPr>
                <w:sz w:val="20"/>
                <w:szCs w:val="20"/>
                <w:lang w:val="hy-AM"/>
              </w:rPr>
              <w:t>ից, եթե չկան բացառիկ դեպքեր</w:t>
            </w:r>
          </w:p>
          <w:p w14:paraId="4085400F" w14:textId="77777777" w:rsidR="002B340E" w:rsidRPr="00D645C6" w:rsidRDefault="002B340E" w:rsidP="002B340E">
            <w:pPr>
              <w:pStyle w:val="ListParagraph"/>
              <w:numPr>
                <w:ilvl w:val="0"/>
                <w:numId w:val="18"/>
              </w:numPr>
              <w:spacing w:before="60" w:after="60"/>
              <w:ind w:left="176" w:hanging="257"/>
              <w:jc w:val="left"/>
              <w:rPr>
                <w:sz w:val="20"/>
                <w:szCs w:val="20"/>
                <w:lang w:val="hy-AM"/>
              </w:rPr>
            </w:pPr>
            <w:r w:rsidRPr="00D645C6">
              <w:rPr>
                <w:sz w:val="20"/>
                <w:szCs w:val="20"/>
                <w:lang w:val="hy-AM"/>
              </w:rPr>
              <w:t>ՄԺԾԾ-ում ներկայացնել պարտքի նվազեցման ծրագիր</w:t>
            </w:r>
          </w:p>
        </w:tc>
      </w:tr>
      <w:tr w:rsidR="002B340E" w:rsidRPr="00D00797" w14:paraId="4CAD35AD" w14:textId="77777777" w:rsidTr="00865557">
        <w:tc>
          <w:tcPr>
            <w:tcW w:w="2269" w:type="dxa"/>
            <w:vAlign w:val="center"/>
          </w:tcPr>
          <w:p w14:paraId="73E5F0A5" w14:textId="77777777" w:rsidR="002B340E" w:rsidRPr="00D645C6" w:rsidRDefault="00C8772C" w:rsidP="00FC2CE7">
            <w:pPr>
              <w:spacing w:before="60" w:after="60"/>
              <w:ind w:firstLine="0"/>
              <w:jc w:val="left"/>
              <w:rPr>
                <w:sz w:val="20"/>
                <w:szCs w:val="20"/>
                <w:lang w:val="hy-AM"/>
              </w:rPr>
            </w:pPr>
            <m:oMathPara>
              <m:oMath>
                <m:f>
                  <m:fPr>
                    <m:ctrlPr>
                      <w:rPr>
                        <w:rFonts w:ascii="Cambria Math" w:hAnsi="Cambria Math"/>
                        <w:i/>
                        <w:sz w:val="20"/>
                        <w:szCs w:val="20"/>
                        <w:lang w:val="hy-AM"/>
                      </w:rPr>
                    </m:ctrlPr>
                  </m:fPr>
                  <m:num>
                    <m:r>
                      <w:rPr>
                        <w:rFonts w:ascii="Cambria Math" w:hAnsi="Cambria Math"/>
                        <w:sz w:val="20"/>
                        <w:szCs w:val="20"/>
                        <w:lang w:val="hy-AM"/>
                      </w:rPr>
                      <m:t>Պարտք</m:t>
                    </m:r>
                    <m:ctrlPr>
                      <w:rPr>
                        <w:rFonts w:ascii="Cambria Math" w:hAnsi="Cambria Math"/>
                        <w:i/>
                        <w:sz w:val="20"/>
                        <w:szCs w:val="20"/>
                      </w:rPr>
                    </m:ctrlPr>
                  </m:num>
                  <m:den>
                    <m:r>
                      <w:rPr>
                        <w:rFonts w:ascii="Cambria Math" w:hAnsi="Cambria Math"/>
                        <w:sz w:val="20"/>
                        <w:szCs w:val="20"/>
                        <w:lang w:val="hy-AM"/>
                      </w:rPr>
                      <m:t>ՀՆԱ</m:t>
                    </m:r>
                  </m:den>
                </m:f>
                <m:r>
                  <w:rPr>
                    <w:rFonts w:ascii="Cambria Math" w:hAnsi="Cambria Math"/>
                    <w:sz w:val="20"/>
                    <w:szCs w:val="20"/>
                    <w:lang w:val="hy-AM"/>
                  </w:rPr>
                  <m:t>≥60</m:t>
                </m:r>
                <m:r>
                  <w:rPr>
                    <w:rFonts w:ascii="Cambria Math" w:hAnsi="Cambria Math"/>
                    <w:sz w:val="20"/>
                    <w:szCs w:val="20"/>
                  </w:rPr>
                  <m:t>%</m:t>
                </m:r>
              </m:oMath>
            </m:oMathPara>
          </w:p>
        </w:tc>
        <w:tc>
          <w:tcPr>
            <w:tcW w:w="3828" w:type="dxa"/>
            <w:vAlign w:val="center"/>
          </w:tcPr>
          <w:p w14:paraId="574DE8A5" w14:textId="77777777" w:rsidR="002B340E" w:rsidRPr="00D645C6" w:rsidRDefault="002B340E" w:rsidP="002B340E">
            <w:pPr>
              <w:pStyle w:val="ListParagraph"/>
              <w:numPr>
                <w:ilvl w:val="0"/>
                <w:numId w:val="21"/>
              </w:numPr>
              <w:spacing w:before="60" w:after="60"/>
              <w:ind w:left="176" w:hanging="261"/>
              <w:jc w:val="left"/>
              <w:rPr>
                <w:sz w:val="20"/>
                <w:szCs w:val="20"/>
                <w:lang w:val="hy-AM"/>
              </w:rPr>
            </w:pPr>
            <w:r w:rsidRPr="00D645C6">
              <w:rPr>
                <w:sz w:val="20"/>
                <w:szCs w:val="20"/>
                <w:lang w:val="hy-AM"/>
              </w:rPr>
              <w:t xml:space="preserve">Կապիտալ ծախսեր &gt; </w:t>
            </w:r>
            <w:r>
              <w:rPr>
                <w:sz w:val="20"/>
                <w:szCs w:val="20"/>
                <w:lang w:val="hy-AM"/>
              </w:rPr>
              <w:t>Պ</w:t>
            </w:r>
            <w:r w:rsidRPr="00D645C6">
              <w:rPr>
                <w:sz w:val="20"/>
                <w:szCs w:val="20"/>
                <w:lang w:val="hy-AM"/>
              </w:rPr>
              <w:t>ակասուրդ</w:t>
            </w:r>
          </w:p>
          <w:p w14:paraId="62E2E1C6" w14:textId="77777777" w:rsidR="002B340E" w:rsidRPr="00D645C6" w:rsidRDefault="002B340E" w:rsidP="002B340E">
            <w:pPr>
              <w:pStyle w:val="ListParagraph"/>
              <w:numPr>
                <w:ilvl w:val="0"/>
                <w:numId w:val="21"/>
              </w:numPr>
              <w:spacing w:before="60" w:after="60"/>
              <w:ind w:left="176" w:hanging="261"/>
              <w:jc w:val="left"/>
              <w:rPr>
                <w:sz w:val="20"/>
                <w:szCs w:val="20"/>
                <w:lang w:val="hy-AM"/>
              </w:rPr>
            </w:pPr>
            <w:r w:rsidRPr="00D645C6">
              <w:rPr>
                <w:sz w:val="20"/>
                <w:szCs w:val="20"/>
                <w:lang w:val="hy-AM"/>
              </w:rPr>
              <w:t xml:space="preserve">Ընթացիկ ծախսեր </w:t>
            </w:r>
            <w:r w:rsidRPr="00D645C6">
              <w:rPr>
                <w:sz w:val="20"/>
                <w:szCs w:val="20"/>
              </w:rPr>
              <w:t>&lt;</w:t>
            </w:r>
            <w:r w:rsidRPr="00D645C6">
              <w:rPr>
                <w:sz w:val="20"/>
                <w:szCs w:val="20"/>
                <w:lang w:val="hy-AM"/>
              </w:rPr>
              <w:t xml:space="preserve"> </w:t>
            </w:r>
            <w:r>
              <w:rPr>
                <w:sz w:val="20"/>
                <w:szCs w:val="20"/>
                <w:lang w:val="hy-AM"/>
              </w:rPr>
              <w:t>Հ</w:t>
            </w:r>
            <w:r w:rsidRPr="00D645C6">
              <w:rPr>
                <w:sz w:val="20"/>
                <w:szCs w:val="20"/>
                <w:lang w:val="hy-AM"/>
              </w:rPr>
              <w:t>արկեր</w:t>
            </w:r>
          </w:p>
          <w:p w14:paraId="34FC4EFC" w14:textId="77777777" w:rsidR="002B340E" w:rsidRPr="00D645C6" w:rsidRDefault="002B340E" w:rsidP="002B340E">
            <w:pPr>
              <w:pStyle w:val="ListParagraph"/>
              <w:numPr>
                <w:ilvl w:val="0"/>
                <w:numId w:val="21"/>
              </w:numPr>
              <w:spacing w:before="60" w:after="60"/>
              <w:ind w:left="176" w:hanging="261"/>
              <w:jc w:val="left"/>
              <w:rPr>
                <w:sz w:val="20"/>
                <w:szCs w:val="20"/>
                <w:lang w:val="hy-AM"/>
              </w:rPr>
            </w:pPr>
            <w:r w:rsidRPr="00D645C6">
              <w:rPr>
                <w:sz w:val="20"/>
                <w:szCs w:val="20"/>
                <w:lang w:val="hy-AM"/>
              </w:rPr>
              <w:t xml:space="preserve">Ընթացիկ առաջնային ծախսերի աճը սահմանափակվում է նախորդ 7 տարիների անվանական ՀՆԱ-ների միջին աճից առնվազն 0.5 </w:t>
            </w:r>
            <w:r w:rsidRPr="00D645C6">
              <w:rPr>
                <w:sz w:val="20"/>
                <w:szCs w:val="20"/>
                <w:lang w:val="hy-AM"/>
              </w:rPr>
              <w:lastRenderedPageBreak/>
              <w:t>տոկոսային կետով պակաս ճշգրտման գործակցով</w:t>
            </w:r>
          </w:p>
          <w:p w14:paraId="4E6EDC28" w14:textId="5B7C022C" w:rsidR="002B340E" w:rsidRPr="00D645C6" w:rsidRDefault="002B340E" w:rsidP="002B340E">
            <w:pPr>
              <w:pStyle w:val="ListParagraph"/>
              <w:numPr>
                <w:ilvl w:val="0"/>
                <w:numId w:val="21"/>
              </w:numPr>
              <w:spacing w:before="60" w:after="60"/>
              <w:ind w:left="176" w:hanging="261"/>
              <w:jc w:val="left"/>
              <w:rPr>
                <w:sz w:val="20"/>
                <w:szCs w:val="20"/>
                <w:lang w:val="hy-AM"/>
              </w:rPr>
            </w:pPr>
            <w:r w:rsidRPr="00D645C6">
              <w:rPr>
                <w:sz w:val="20"/>
                <w:szCs w:val="20"/>
                <w:lang w:val="hy-AM"/>
              </w:rPr>
              <w:t>Ծախսային կանոն</w:t>
            </w:r>
            <w:r w:rsidR="00DB4CCF">
              <w:rPr>
                <w:sz w:val="20"/>
                <w:szCs w:val="20"/>
                <w:lang w:val="hy-AM"/>
              </w:rPr>
              <w:t>ներ</w:t>
            </w:r>
            <w:r w:rsidRPr="00D645C6">
              <w:rPr>
                <w:sz w:val="20"/>
                <w:szCs w:val="20"/>
                <w:lang w:val="hy-AM"/>
              </w:rPr>
              <w:t>ը չ</w:t>
            </w:r>
            <w:r w:rsidR="00DB4CCF">
              <w:rPr>
                <w:sz w:val="20"/>
                <w:szCs w:val="20"/>
                <w:lang w:val="hy-AM"/>
              </w:rPr>
              <w:t>են</w:t>
            </w:r>
            <w:r w:rsidRPr="00D645C6">
              <w:rPr>
                <w:sz w:val="20"/>
                <w:szCs w:val="20"/>
                <w:lang w:val="hy-AM"/>
              </w:rPr>
              <w:t xml:space="preserve"> կիրառվում, եթե կան բացառիկ դեպքեր</w:t>
            </w:r>
          </w:p>
        </w:tc>
        <w:tc>
          <w:tcPr>
            <w:tcW w:w="3828" w:type="dxa"/>
            <w:vAlign w:val="center"/>
          </w:tcPr>
          <w:p w14:paraId="0E00D6BB" w14:textId="0F4F3623" w:rsidR="002B340E" w:rsidRPr="00D645C6" w:rsidRDefault="002B340E" w:rsidP="002B340E">
            <w:pPr>
              <w:pStyle w:val="ListParagraph"/>
              <w:numPr>
                <w:ilvl w:val="0"/>
                <w:numId w:val="20"/>
              </w:numPr>
              <w:spacing w:before="60" w:after="60"/>
              <w:ind w:left="176" w:hanging="261"/>
              <w:jc w:val="left"/>
              <w:rPr>
                <w:sz w:val="20"/>
                <w:szCs w:val="20"/>
                <w:lang w:val="hy-AM"/>
              </w:rPr>
            </w:pPr>
            <w:r w:rsidRPr="00D645C6">
              <w:rPr>
                <w:sz w:val="20"/>
                <w:szCs w:val="20"/>
                <w:lang w:val="hy-AM"/>
              </w:rPr>
              <w:lastRenderedPageBreak/>
              <w:t>Պարտավորություն ստանձնել ՀՀ կառավարության պարտքի հետագիծը 5 տարիների ընթացքում նվազեցնել</w:t>
            </w:r>
            <w:r w:rsidR="00444499">
              <w:rPr>
                <w:sz w:val="20"/>
                <w:szCs w:val="20"/>
                <w:lang w:val="hy-AM"/>
              </w:rPr>
              <w:t>ու</w:t>
            </w:r>
            <w:r w:rsidRPr="00D645C6">
              <w:rPr>
                <w:sz w:val="20"/>
                <w:szCs w:val="20"/>
                <w:lang w:val="hy-AM"/>
              </w:rPr>
              <w:t xml:space="preserve"> 60</w:t>
            </w:r>
            <w:r w:rsidRPr="00186240">
              <w:rPr>
                <w:sz w:val="20"/>
                <w:szCs w:val="20"/>
                <w:lang w:val="hy-AM"/>
              </w:rPr>
              <w:t>%-</w:t>
            </w:r>
            <w:r w:rsidRPr="00D645C6">
              <w:rPr>
                <w:sz w:val="20"/>
                <w:szCs w:val="20"/>
                <w:lang w:val="hy-AM"/>
              </w:rPr>
              <w:t>ից, եթե չկան բացառիկ դեպքեր</w:t>
            </w:r>
          </w:p>
          <w:p w14:paraId="513A827F" w14:textId="77777777" w:rsidR="002B340E" w:rsidRPr="00D645C6" w:rsidRDefault="002B340E" w:rsidP="002B340E">
            <w:pPr>
              <w:pStyle w:val="ListParagraph"/>
              <w:numPr>
                <w:ilvl w:val="0"/>
                <w:numId w:val="20"/>
              </w:numPr>
              <w:spacing w:before="60" w:after="60"/>
              <w:ind w:left="176" w:hanging="261"/>
              <w:jc w:val="left"/>
              <w:rPr>
                <w:sz w:val="20"/>
                <w:szCs w:val="20"/>
                <w:lang w:val="hy-AM"/>
              </w:rPr>
            </w:pPr>
            <w:r w:rsidRPr="00D645C6">
              <w:rPr>
                <w:sz w:val="20"/>
                <w:szCs w:val="20"/>
                <w:lang w:val="hy-AM"/>
              </w:rPr>
              <w:lastRenderedPageBreak/>
              <w:t>ՀՀ Ազգային ժողովի քննարկմանը ներկայացնել պարտքի նվազեցման ծրագիր</w:t>
            </w:r>
          </w:p>
        </w:tc>
      </w:tr>
    </w:tbl>
    <w:p w14:paraId="2BF10B23" w14:textId="67E53ECF" w:rsidR="002B340E" w:rsidRDefault="002B340E" w:rsidP="002B340E">
      <w:pPr>
        <w:spacing w:before="240"/>
        <w:ind w:firstLine="602"/>
        <w:rPr>
          <w:lang w:val="hy-AM"/>
        </w:rPr>
      </w:pPr>
      <w:r>
        <w:rPr>
          <w:rFonts w:eastAsia="Calibri"/>
          <w:color w:val="000000"/>
          <w:lang w:val="hy-AM"/>
        </w:rPr>
        <w:lastRenderedPageBreak/>
        <w:t xml:space="preserve">Թեև 2018-2019թթ. ընթացքում հարկաբյուջետային կանոնները պահպանվել են, </w:t>
      </w:r>
      <w:r w:rsidRPr="000768B8">
        <w:rPr>
          <w:rFonts w:eastAsia="Calibri"/>
          <w:b/>
          <w:color w:val="000000"/>
          <w:lang w:val="hy-AM"/>
        </w:rPr>
        <w:t>2020 թվականին` ԿՈՎԻԴ-19</w:t>
      </w:r>
      <w:r w:rsidR="00411A59" w:rsidRPr="008D325C">
        <w:rPr>
          <w:rFonts w:eastAsia="Calibri"/>
          <w:b/>
          <w:color w:val="000000"/>
          <w:lang w:val="hy-AM"/>
        </w:rPr>
        <w:t>-ի</w:t>
      </w:r>
      <w:r w:rsidRPr="000768B8">
        <w:rPr>
          <w:rFonts w:eastAsia="Calibri"/>
          <w:b/>
          <w:color w:val="000000"/>
          <w:lang w:val="hy-AM"/>
        </w:rPr>
        <w:t xml:space="preserve"> համավարակ</w:t>
      </w:r>
      <w:r>
        <w:rPr>
          <w:rFonts w:eastAsia="Calibri"/>
          <w:b/>
          <w:color w:val="000000"/>
          <w:lang w:val="hy-AM"/>
        </w:rPr>
        <w:t>ը</w:t>
      </w:r>
      <w:r w:rsidRPr="000768B8">
        <w:rPr>
          <w:rFonts w:eastAsia="Calibri"/>
          <w:b/>
          <w:color w:val="000000"/>
          <w:lang w:val="hy-AM"/>
        </w:rPr>
        <w:t xml:space="preserve"> և Արցախյան պատերազմ</w:t>
      </w:r>
      <w:r>
        <w:rPr>
          <w:rFonts w:eastAsia="Calibri"/>
          <w:b/>
          <w:color w:val="000000"/>
          <w:lang w:val="hy-AM"/>
        </w:rPr>
        <w:t>ը</w:t>
      </w:r>
      <w:r w:rsidRPr="000768B8">
        <w:rPr>
          <w:rFonts w:eastAsia="Calibri"/>
          <w:b/>
          <w:color w:val="000000"/>
          <w:lang w:val="hy-AM"/>
        </w:rPr>
        <w:t xml:space="preserve"> համարելով «բացառիկ դեպք»` ՀՀ կառավարությունը շեղվել է հարկաբյուջետային կանոններից</w:t>
      </w:r>
      <w:r>
        <w:rPr>
          <w:rStyle w:val="FootnoteReference"/>
          <w:rFonts w:eastAsia="Calibri"/>
          <w:color w:val="000000"/>
          <w:lang w:val="hy-AM"/>
        </w:rPr>
        <w:footnoteReference w:id="51"/>
      </w:r>
      <w:r>
        <w:rPr>
          <w:rFonts w:eastAsia="Calibri"/>
          <w:color w:val="000000"/>
          <w:lang w:val="hy-AM"/>
        </w:rPr>
        <w:t xml:space="preserve">: Արդյունքում պետական </w:t>
      </w:r>
      <w:r w:rsidRPr="006F5684">
        <w:rPr>
          <w:lang w:val="hy-AM"/>
        </w:rPr>
        <w:t>բյուջեի պակասուրդը եղել է ավելի մեծ, քան կապիտալ ծախսերն են</w:t>
      </w:r>
      <w:r>
        <w:rPr>
          <w:lang w:val="hy-AM"/>
        </w:rPr>
        <w:t xml:space="preserve"> </w:t>
      </w:r>
      <w:r w:rsidRPr="00186240">
        <w:rPr>
          <w:lang w:val="hy-AM"/>
        </w:rPr>
        <w:t>(</w:t>
      </w:r>
      <w:r>
        <w:rPr>
          <w:lang w:val="hy-AM"/>
        </w:rPr>
        <w:t>շուրջ 47.7</w:t>
      </w:r>
      <w:r w:rsidRPr="00186240">
        <w:rPr>
          <w:lang w:val="hy-AM"/>
        </w:rPr>
        <w:t>%-</w:t>
      </w:r>
      <w:r>
        <w:rPr>
          <w:lang w:val="hy-AM"/>
        </w:rPr>
        <w:t>ով</w:t>
      </w:r>
      <w:r w:rsidRPr="00186240">
        <w:rPr>
          <w:lang w:val="hy-AM"/>
        </w:rPr>
        <w:t>)</w:t>
      </w:r>
      <w:r w:rsidRPr="006F5684">
        <w:rPr>
          <w:lang w:val="hy-AM"/>
        </w:rPr>
        <w:t xml:space="preserve">, </w:t>
      </w:r>
      <w:r>
        <w:rPr>
          <w:lang w:val="hy-AM"/>
        </w:rPr>
        <w:t xml:space="preserve">իսկ </w:t>
      </w:r>
      <w:r w:rsidRPr="006F5684">
        <w:rPr>
          <w:lang w:val="hy-AM"/>
        </w:rPr>
        <w:t>ընթացիկ առաջնային ծախսերի աճը գերազանցել է նախորդ 7 տարիների անվանական ՀՆԱ-ի աճի միջին տեմպը</w:t>
      </w:r>
      <w:r>
        <w:rPr>
          <w:lang w:val="hy-AM"/>
        </w:rPr>
        <w:t xml:space="preserve"> </w:t>
      </w:r>
      <w:r w:rsidRPr="00186240">
        <w:rPr>
          <w:lang w:val="hy-AM"/>
        </w:rPr>
        <w:t>(</w:t>
      </w:r>
      <w:r>
        <w:rPr>
          <w:lang w:val="hy-AM"/>
        </w:rPr>
        <w:t xml:space="preserve">շուրջ </w:t>
      </w:r>
      <w:r w:rsidR="00015068" w:rsidRPr="002D0EC3">
        <w:rPr>
          <w:lang w:val="hy-AM"/>
        </w:rPr>
        <w:t>8.9</w:t>
      </w:r>
      <w:r w:rsidR="00015068" w:rsidRPr="009D4A3C">
        <w:rPr>
          <w:lang w:val="hy-AM"/>
        </w:rPr>
        <w:t xml:space="preserve"> </w:t>
      </w:r>
      <w:r>
        <w:rPr>
          <w:lang w:val="hy-AM"/>
        </w:rPr>
        <w:t>տոկոսային կետով</w:t>
      </w:r>
      <w:r w:rsidR="00A042FB">
        <w:rPr>
          <w:rStyle w:val="FootnoteReference"/>
          <w:lang w:val="hy-AM"/>
        </w:rPr>
        <w:footnoteReference w:id="52"/>
      </w:r>
      <w:r w:rsidRPr="00186240">
        <w:rPr>
          <w:lang w:val="hy-AM"/>
        </w:rPr>
        <w:t>)</w:t>
      </w:r>
      <w:r>
        <w:rPr>
          <w:lang w:val="hy-AM"/>
        </w:rPr>
        <w:t xml:space="preserve">: Կապիտալ ծախսերի կանոնից շեղումը կազմել է շուրջ </w:t>
      </w:r>
      <w:r w:rsidR="00FB11F9" w:rsidRPr="00FB11F9">
        <w:rPr>
          <w:lang w:val="hy-AM"/>
        </w:rPr>
        <w:t>106.3</w:t>
      </w:r>
      <w:r w:rsidRPr="00AF7155">
        <w:rPr>
          <w:lang w:val="hy-AM"/>
        </w:rPr>
        <w:t xml:space="preserve"> մլրդ </w:t>
      </w:r>
      <w:r>
        <w:rPr>
          <w:lang w:val="hy-AM"/>
        </w:rPr>
        <w:t>դրամ</w:t>
      </w:r>
      <w:r w:rsidRPr="00AF7155">
        <w:rPr>
          <w:lang w:val="hy-AM"/>
        </w:rPr>
        <w:t xml:space="preserve"> </w:t>
      </w:r>
      <w:r>
        <w:rPr>
          <w:lang w:val="hy-AM"/>
        </w:rPr>
        <w:t xml:space="preserve">կամ </w:t>
      </w:r>
      <w:r w:rsidRPr="00AF7155">
        <w:rPr>
          <w:lang w:val="hy-AM"/>
        </w:rPr>
        <w:t>ՀՆԱ-ի 1.7%-ի չափով</w:t>
      </w:r>
      <w:r>
        <w:rPr>
          <w:lang w:val="hy-AM"/>
        </w:rPr>
        <w:t xml:space="preserve"> </w:t>
      </w:r>
      <w:r w:rsidRPr="00186240">
        <w:rPr>
          <w:lang w:val="hy-AM"/>
        </w:rPr>
        <w:t>(</w:t>
      </w:r>
      <w:r>
        <w:rPr>
          <w:lang w:val="hy-AM"/>
        </w:rPr>
        <w:t xml:space="preserve">այսինքն </w:t>
      </w:r>
      <w:r w:rsidR="00247F8E" w:rsidRPr="00247F8E">
        <w:rPr>
          <w:lang w:val="hy-AM"/>
        </w:rPr>
        <w:t>106.3</w:t>
      </w:r>
      <w:r w:rsidRPr="00AF7155">
        <w:rPr>
          <w:lang w:val="hy-AM"/>
        </w:rPr>
        <w:t xml:space="preserve"> մլրդ </w:t>
      </w:r>
      <w:r>
        <w:rPr>
          <w:lang w:val="hy-AM"/>
        </w:rPr>
        <w:t>դրամն ուղղվել է ընթացիկ ծախսերի ֆինանսավորմանը</w:t>
      </w:r>
      <w:r w:rsidRPr="00186240">
        <w:rPr>
          <w:lang w:val="hy-AM"/>
        </w:rPr>
        <w:t>)</w:t>
      </w:r>
      <w:r>
        <w:rPr>
          <w:lang w:val="hy-AM"/>
        </w:rPr>
        <w:t xml:space="preserve">, իսկ ընթացիկ ծախսերի կանոնից շեղումը կազմել է </w:t>
      </w:r>
      <w:r w:rsidRPr="00AF7155">
        <w:rPr>
          <w:lang w:val="hy-AM"/>
        </w:rPr>
        <w:t>շուրջ 206.0 մլրդ դրամ</w:t>
      </w:r>
      <w:r>
        <w:rPr>
          <w:lang w:val="hy-AM"/>
        </w:rPr>
        <w:t xml:space="preserve"> կամ </w:t>
      </w:r>
      <w:r w:rsidRPr="00AF7155">
        <w:rPr>
          <w:lang w:val="hy-AM"/>
        </w:rPr>
        <w:t>ՀՆԱ-ի 3.3%-ի չափով:</w:t>
      </w:r>
    </w:p>
    <w:p w14:paraId="5944F6A9" w14:textId="020B4819" w:rsidR="002B340E" w:rsidRPr="00C85D21" w:rsidRDefault="002B340E" w:rsidP="002B340E">
      <w:pPr>
        <w:spacing w:before="240"/>
        <w:ind w:firstLine="602"/>
        <w:rPr>
          <w:lang w:val="hy-AM"/>
        </w:rPr>
      </w:pPr>
      <w:r w:rsidRPr="008F5026">
        <w:rPr>
          <w:lang w:val="hy-AM"/>
        </w:rPr>
        <w:t xml:space="preserve">2020թ. հարկաբյուջետային կանոններից </w:t>
      </w:r>
      <w:r w:rsidR="00696E20" w:rsidRPr="008F5026">
        <w:rPr>
          <w:lang w:val="hy-AM"/>
        </w:rPr>
        <w:t>շեղման հետևանքով</w:t>
      </w:r>
      <w:r w:rsidRPr="008F5026">
        <w:rPr>
          <w:lang w:val="hy-AM"/>
        </w:rPr>
        <w:t xml:space="preserve"> </w:t>
      </w:r>
      <w:r>
        <w:rPr>
          <w:lang w:val="hy-AM"/>
        </w:rPr>
        <w:t>2020թ. բյուջեի ընթացիկ ծախսերի շեշտակի աճի արդյունքում ընթացիկ ծախսեր/ՀՆԱ հարաբերակցությունը նախատեսված 22.1</w:t>
      </w:r>
      <w:r w:rsidRPr="00186240">
        <w:rPr>
          <w:lang w:val="hy-AM"/>
        </w:rPr>
        <w:t>%-</w:t>
      </w:r>
      <w:r>
        <w:rPr>
          <w:lang w:val="hy-AM"/>
        </w:rPr>
        <w:t>ից ավելի է եղել 4.9 տոկոսային կետով և կազմել 27.0</w:t>
      </w:r>
      <w:r w:rsidRPr="00186240">
        <w:rPr>
          <w:lang w:val="hy-AM"/>
        </w:rPr>
        <w:t xml:space="preserve">%: </w:t>
      </w:r>
      <w:r>
        <w:rPr>
          <w:lang w:val="hy-AM"/>
        </w:rPr>
        <w:t>Թեև ընթացիկ ծախսերի աճը ՀՀ կառավարությունը բացատրում է համավարակի և պատերազմի առաջացրած ծանր սոցիալ-տնտեսական հետևանքներին հակազդելու ծախսային քաղաքականությամբ</w:t>
      </w:r>
      <w:r w:rsidR="007A6284">
        <w:rPr>
          <w:lang w:val="hy-AM"/>
        </w:rPr>
        <w:t>, պետք է արձանագրե</w:t>
      </w:r>
      <w:r w:rsidR="00872540" w:rsidRPr="008D325C">
        <w:rPr>
          <w:lang w:val="hy-AM"/>
        </w:rPr>
        <w:t>լ</w:t>
      </w:r>
      <w:r w:rsidR="007A6284">
        <w:rPr>
          <w:lang w:val="hy-AM"/>
        </w:rPr>
        <w:t>, որ ստեղծված իրավիճակում առանձնակի կարևորություն էր ստանում նաև կապիտալ ծախսերի ֆինանսավորումը` որպես տնտեսության ներուժի խթանման միջոց, ի</w:t>
      </w:r>
      <w:r w:rsidR="00746401">
        <w:rPr>
          <w:lang w:val="hy-AM"/>
        </w:rPr>
        <w:t>ն</w:t>
      </w:r>
      <w:r w:rsidR="007A6284">
        <w:rPr>
          <w:lang w:val="hy-AM"/>
        </w:rPr>
        <w:t>չը սակայն տեղի չի ունեցել</w:t>
      </w:r>
      <w:r w:rsidR="00746401">
        <w:rPr>
          <w:lang w:val="hy-AM"/>
        </w:rPr>
        <w:t>: Արդյունքում</w:t>
      </w:r>
      <w:r w:rsidR="00444499">
        <w:rPr>
          <w:lang w:val="hy-AM"/>
        </w:rPr>
        <w:t>,</w:t>
      </w:r>
      <w:r w:rsidR="007A6284">
        <w:rPr>
          <w:lang w:val="hy-AM"/>
        </w:rPr>
        <w:t xml:space="preserve"> վերցված պարտքային միջոցներն ամբողջությամբ ուղղվել են ընթացիկ ծախսերի ֆինանսավորմանը, և այս համատեքստում </w:t>
      </w:r>
      <w:r w:rsidR="00696E20">
        <w:rPr>
          <w:lang w:val="hy-AM"/>
        </w:rPr>
        <w:t xml:space="preserve">ոչ </w:t>
      </w:r>
      <w:r w:rsidR="0036351E">
        <w:rPr>
          <w:lang w:val="hy-AM"/>
        </w:rPr>
        <w:t xml:space="preserve">ամբողջությամբ </w:t>
      </w:r>
      <w:r w:rsidR="00696E20">
        <w:rPr>
          <w:lang w:val="hy-AM"/>
        </w:rPr>
        <w:t xml:space="preserve">է </w:t>
      </w:r>
      <w:r w:rsidR="007A6284">
        <w:rPr>
          <w:lang w:val="hy-AM"/>
        </w:rPr>
        <w:t>արդարացված հարկաբյուջետային կանոններից շեղումը:</w:t>
      </w:r>
    </w:p>
    <w:p w14:paraId="45B78D08" w14:textId="77777777" w:rsidR="002B340E" w:rsidRDefault="002B340E" w:rsidP="002B340E">
      <w:pPr>
        <w:spacing w:before="240"/>
        <w:ind w:firstLine="602"/>
        <w:rPr>
          <w:lang w:val="hy-AM"/>
        </w:rPr>
      </w:pPr>
      <w:r w:rsidRPr="00BC788A">
        <w:rPr>
          <w:b/>
          <w:lang w:val="hy-AM"/>
        </w:rPr>
        <w:t>2021 թվականին կառավարությունը կրկին շեղվել է  հարկաբյուջետային «ոսկե կանոններից» և «բացառիկ դեպքի» կարգավորումները գործում են նաև այս տարի:</w:t>
      </w:r>
      <w:r>
        <w:rPr>
          <w:lang w:val="hy-AM"/>
        </w:rPr>
        <w:t xml:space="preserve"> Այսինքն, երկու տարի անընդմեջ ՀՀ կառավարությունը բյուջեի պակասուրդի ֆինանսավորման միջոցներն ուղղում է ոչ թե կապիտալ, այլ ընթացիկ ծախսերի ֆինանսավորմանը: Արդյունքում, ՀՀ կառավարության հարկաբյուջետային քաղաքականությունը նշված ժամանակահատվածում չի </w:t>
      </w:r>
      <w:r>
        <w:rPr>
          <w:lang w:val="hy-AM"/>
        </w:rPr>
        <w:lastRenderedPageBreak/>
        <w:t xml:space="preserve">նպաստում տնտեսության ներուժի վերականգնմանն ու զարգացմանը` թուլացնելով նաև հետագա տարիներին տնտեսական առաջընթացի հնարավորությունները: </w:t>
      </w:r>
    </w:p>
    <w:p w14:paraId="2DAA4B5E" w14:textId="77777777" w:rsidR="002B340E" w:rsidRDefault="002B340E" w:rsidP="002B340E">
      <w:pPr>
        <w:spacing w:before="240"/>
        <w:ind w:firstLine="602"/>
        <w:rPr>
          <w:lang w:val="hy-AM"/>
        </w:rPr>
      </w:pPr>
      <w:r>
        <w:rPr>
          <w:lang w:val="hy-AM"/>
        </w:rPr>
        <w:t xml:space="preserve">Թեև համաձայն ՀՀ կառավարության` 2022 թվականից անցում կկատարվի հարկաբյուջետային կանոնների պահպանմանը, նկատենք, որ այս դեպքում դրանք գործելու են ավելի խստացված գործիքակազմով, քանի որ </w:t>
      </w:r>
      <w:r w:rsidRPr="00BC788A">
        <w:rPr>
          <w:lang w:val="hy-AM"/>
        </w:rPr>
        <w:t xml:space="preserve">2020թ. ՀՀ կառավարության պարտք/ՀՆԱ հարաբերակցությունը գերազանցել է 60%-ի շեմը` գործադրելով Աղյուսակ </w:t>
      </w:r>
      <w:r w:rsidR="005318ED">
        <w:rPr>
          <w:lang w:val="hy-AM"/>
        </w:rPr>
        <w:t>4</w:t>
      </w:r>
      <w:r w:rsidRPr="00BC788A">
        <w:rPr>
          <w:lang w:val="hy-AM"/>
        </w:rPr>
        <w:t xml:space="preserve">-ի 3-րդ տողում ներկայացված </w:t>
      </w:r>
      <w:r>
        <w:rPr>
          <w:lang w:val="hy-AM"/>
        </w:rPr>
        <w:t>մեխանիզմները</w:t>
      </w:r>
      <w:r w:rsidRPr="00BC788A">
        <w:rPr>
          <w:lang w:val="hy-AM"/>
        </w:rPr>
        <w:t>:</w:t>
      </w:r>
    </w:p>
    <w:p w14:paraId="791A185B" w14:textId="7DE4306E" w:rsidR="002B340E" w:rsidRPr="00F267C2" w:rsidRDefault="002B340E" w:rsidP="002B340E">
      <w:pPr>
        <w:spacing w:before="240"/>
        <w:ind w:firstLine="602"/>
        <w:rPr>
          <w:b/>
          <w:lang w:val="hy-AM"/>
        </w:rPr>
      </w:pPr>
      <w:r w:rsidRPr="00F267C2">
        <w:rPr>
          <w:b/>
          <w:lang w:val="hy-AM"/>
        </w:rPr>
        <w:t>Ստացվում է, որ ՀՀ կառավարության վարած հարկաբյուջետային քաղաքականության արդյունքում մի կողմից</w:t>
      </w:r>
      <w:r w:rsidR="00444499">
        <w:rPr>
          <w:b/>
          <w:lang w:val="hy-AM"/>
        </w:rPr>
        <w:t>՝</w:t>
      </w:r>
      <w:r w:rsidRPr="00F267C2">
        <w:rPr>
          <w:b/>
          <w:lang w:val="hy-AM"/>
        </w:rPr>
        <w:t xml:space="preserve"> 2020 թվականին հարկաբյուջետային կանոններից շեղումը մեծամասամբ արդարացված չի եղել, և 2021 թվականին հնարավորություն չի ստեղծվել հարկաբյուջետային քաղաքականությամբ նպաստելու տնտեսության վերականգնմանը, մյուս կողմից` հետագա տարիների համար գործող հարկաբյուջետային ավելի խիստ կանոնները թույլ չեն տալու ՀՀ կառավարությանն իր գործողություններում լինել ավելի ազատ` նեղացնելով տնտեսական քաղաքականության հնարավոր ուղղությունները:</w:t>
      </w:r>
    </w:p>
    <w:p w14:paraId="792558A3" w14:textId="403DDBAE" w:rsidR="002B340E" w:rsidRPr="00996AB4" w:rsidRDefault="002B340E" w:rsidP="00A83257">
      <w:pPr>
        <w:pStyle w:val="Heading2"/>
      </w:pPr>
      <w:bookmarkStart w:id="19" w:name="_Toc88138991"/>
      <w:r w:rsidRPr="00996AB4">
        <w:t>4.</w:t>
      </w:r>
      <w:r w:rsidR="009D5F0C">
        <w:t>3</w:t>
      </w:r>
      <w:r w:rsidRPr="00186240">
        <w:t xml:space="preserve">. </w:t>
      </w:r>
      <w:r>
        <w:t>Կառավարության պարտքի կառավարումը</w:t>
      </w:r>
      <w:r w:rsidRPr="00996AB4">
        <w:t xml:space="preserve">` </w:t>
      </w:r>
      <w:r>
        <w:t>մակրոտնտեսական</w:t>
      </w:r>
      <w:r w:rsidRPr="00996AB4">
        <w:t xml:space="preserve"> կայունության հենք</w:t>
      </w:r>
      <w:bookmarkEnd w:id="19"/>
    </w:p>
    <w:p w14:paraId="28C64F8A" w14:textId="40C98F16" w:rsidR="002B340E" w:rsidRDefault="002B340E" w:rsidP="002B340E">
      <w:pPr>
        <w:spacing w:before="240"/>
        <w:ind w:firstLine="602"/>
        <w:rPr>
          <w:lang w:val="hy-AM"/>
        </w:rPr>
      </w:pPr>
      <w:r>
        <w:rPr>
          <w:lang w:val="hy-AM"/>
        </w:rPr>
        <w:t xml:space="preserve">Հանրային ֆինանսների կառավարման համատեքստում առանցքային դերակատարում ունի ՀՀ կառավարության պարտքի կառավարումը, քանի որ դրանից է բխում երկրի հարկաբյուջետային և որպես հետևանք` երկրի մակրոտնտեսական կայունությունը: </w:t>
      </w:r>
      <w:r w:rsidR="00066299">
        <w:rPr>
          <w:lang w:val="hy-AM"/>
        </w:rPr>
        <w:t>Ն</w:t>
      </w:r>
      <w:r>
        <w:rPr>
          <w:lang w:val="hy-AM"/>
        </w:rPr>
        <w:t>ախորդ ենթաբաժնում</w:t>
      </w:r>
      <w:r w:rsidR="00066299">
        <w:rPr>
          <w:lang w:val="hy-AM"/>
        </w:rPr>
        <w:t xml:space="preserve"> նկարագրված</w:t>
      </w:r>
      <w:r>
        <w:rPr>
          <w:lang w:val="hy-AM"/>
        </w:rPr>
        <w:t xml:space="preserve"> հարկաբյուջետային կանոնները վերջին հաշվով ուղղված են հենց ՀՀ կառավարության պարտքի կայունությունն ապահովելուն: Այս համատեքստում կարևոր է հասկանալ, թե ինչպիսի</w:t>
      </w:r>
      <w:r w:rsidRPr="00CB5F8D">
        <w:rPr>
          <w:lang w:val="hy-AM"/>
        </w:rPr>
        <w:t>՞</w:t>
      </w:r>
      <w:r>
        <w:rPr>
          <w:lang w:val="hy-AM"/>
        </w:rPr>
        <w:t xml:space="preserve"> հետագիծ է ունեցել կառավարության պարտք/ՀՆԱ հարաբերակցությունը քննարկվող ժամանակահատվածում, ինչպիսի</w:t>
      </w:r>
      <w:r w:rsidRPr="00CB5F8D">
        <w:rPr>
          <w:lang w:val="hy-AM"/>
        </w:rPr>
        <w:t>՞</w:t>
      </w:r>
      <w:r>
        <w:rPr>
          <w:lang w:val="hy-AM"/>
        </w:rPr>
        <w:t xml:space="preserve"> ջանքեր է գործադրել ՀՀ ներկայիս կառավարությունը պարտքի կայունության ապահովման հարցում և այդ մասով ի</w:t>
      </w:r>
      <w:r w:rsidRPr="00CB5F8D">
        <w:rPr>
          <w:lang w:val="hy-AM"/>
        </w:rPr>
        <w:t>՞</w:t>
      </w:r>
      <w:r>
        <w:rPr>
          <w:lang w:val="hy-AM"/>
        </w:rPr>
        <w:t xml:space="preserve">նչ արդյունքներ են գրանցվել:  </w:t>
      </w:r>
    </w:p>
    <w:p w14:paraId="5AE63161" w14:textId="311AAF0C" w:rsidR="002B340E" w:rsidRPr="00290A32" w:rsidRDefault="002B340E" w:rsidP="002B340E">
      <w:pPr>
        <w:spacing w:before="240"/>
        <w:rPr>
          <w:b/>
          <w:lang w:val="hy-AM"/>
        </w:rPr>
      </w:pPr>
      <w:r w:rsidRPr="007C253F">
        <w:rPr>
          <w:b/>
          <w:lang w:val="hy-AM"/>
        </w:rPr>
        <w:t>Այսպես, 2018-2019թթ. ՀՀ կառավարության պարտք/ՀՆԱ ցուցանիշը գրանցել է նվազող դինամիկա, թեև նվազման հետագիծը մասամբ է պայմանավորված պարտքի կայունության ապահովման նպատակադրմամբ, և հիմնականում բացատրվում է հանրային ֆինանսների թերի կառավարման գործոնով:</w:t>
      </w:r>
      <w:r w:rsidRPr="00E05186">
        <w:rPr>
          <w:lang w:val="hy-AM"/>
        </w:rPr>
        <w:t xml:space="preserve"> Մասնավորապես, 2018թ. ՀՀ կ</w:t>
      </w:r>
      <w:r>
        <w:rPr>
          <w:lang w:val="hy-AM"/>
        </w:rPr>
        <w:t xml:space="preserve">առավարության պարտքի կշիռը </w:t>
      </w:r>
      <w:r w:rsidR="006156CD" w:rsidRPr="008D325C">
        <w:rPr>
          <w:lang w:val="hy-AM"/>
        </w:rPr>
        <w:t xml:space="preserve">      </w:t>
      </w:r>
      <w:r>
        <w:rPr>
          <w:lang w:val="hy-AM"/>
        </w:rPr>
        <w:t>ՀՆԱ-ում 2017-ի համեմատ նվազել է 2.5 տոկոսային կետով և կազմել 51.2</w:t>
      </w:r>
      <w:r w:rsidRPr="00186240">
        <w:rPr>
          <w:lang w:val="hy-AM"/>
        </w:rPr>
        <w:t xml:space="preserve">%, </w:t>
      </w:r>
      <w:r>
        <w:rPr>
          <w:lang w:val="hy-AM"/>
        </w:rPr>
        <w:t xml:space="preserve">իսկ 2019-ին նախորդ տարվա համեմատ ցուցանիշը նվազել է 1.1 տոկոսային կետով և </w:t>
      </w:r>
      <w:r>
        <w:rPr>
          <w:lang w:val="hy-AM"/>
        </w:rPr>
        <w:lastRenderedPageBreak/>
        <w:t>կազմել 50.1</w:t>
      </w:r>
      <w:r w:rsidRPr="00186240">
        <w:rPr>
          <w:lang w:val="hy-AM"/>
        </w:rPr>
        <w:t xml:space="preserve">%: </w:t>
      </w:r>
      <w:r>
        <w:rPr>
          <w:lang w:val="hy-AM"/>
        </w:rPr>
        <w:t>Այդուհանդերձ, նշված ժամանակահատվածում պարտք/ՀՆԱ հարաբերակցության նվազումն ուղեկցվել է պետական բյուջեի պակասուրդի թերակատարումներով, որը 2018-ին բյուջեի ճշտված պլանի նկատմամբ կազմել է 34.9</w:t>
      </w:r>
      <w:r w:rsidRPr="00186240">
        <w:rPr>
          <w:lang w:val="hy-AM"/>
        </w:rPr>
        <w:t xml:space="preserve">%, </w:t>
      </w:r>
      <w:r>
        <w:rPr>
          <w:lang w:val="hy-AM"/>
        </w:rPr>
        <w:t>իսկ 2019-ին` շատ ավելի` 58.4</w:t>
      </w:r>
      <w:r w:rsidRPr="00186240">
        <w:rPr>
          <w:lang w:val="hy-AM"/>
        </w:rPr>
        <w:t xml:space="preserve">%: </w:t>
      </w:r>
      <w:r>
        <w:rPr>
          <w:lang w:val="hy-AM"/>
        </w:rPr>
        <w:t xml:space="preserve">Ընդ որում, պակասուրդի թերակատարումը երկու դեպքում էլ բացատրվում է բյուջեի եկամուտների նկատմամբ ծախսերի թերակատարման առաջանցիկ տեմպով: </w:t>
      </w:r>
      <w:r w:rsidRPr="00B15A72">
        <w:rPr>
          <w:b/>
          <w:lang w:val="hy-AM"/>
        </w:rPr>
        <w:t xml:space="preserve">Ստացվում է, որ նշված ժամանակահատվածում ՀՀ կառավարության պարտք/ՀՆԱ հարաբերակցության նվազող հետագիծը ոչ թե պլանավորված հարկաբյուջետային քաղաքականության արդյունք է, այլ ՀՀ կառավարության ծախսային քաղաքականության </w:t>
      </w:r>
      <w:r>
        <w:rPr>
          <w:b/>
          <w:lang w:val="hy-AM"/>
        </w:rPr>
        <w:t>ձախողման</w:t>
      </w:r>
      <w:r w:rsidRPr="00B15A72">
        <w:rPr>
          <w:b/>
          <w:lang w:val="hy-AM"/>
        </w:rPr>
        <w:t xml:space="preserve"> հետևանք:</w:t>
      </w:r>
    </w:p>
    <w:p w14:paraId="4C0144AF" w14:textId="67BA2916" w:rsidR="002B340E" w:rsidRPr="000438E0" w:rsidRDefault="002B340E" w:rsidP="002B340E">
      <w:pPr>
        <w:spacing w:before="240"/>
        <w:rPr>
          <w:b/>
          <w:lang w:val="hy-AM"/>
        </w:rPr>
      </w:pPr>
      <w:r w:rsidRPr="00186240">
        <w:rPr>
          <w:b/>
          <w:lang w:val="hy-AM"/>
        </w:rPr>
        <w:t xml:space="preserve">2020 </w:t>
      </w:r>
      <w:r w:rsidRPr="00855F6A">
        <w:rPr>
          <w:b/>
          <w:lang w:val="hy-AM"/>
        </w:rPr>
        <w:t>թվականին</w:t>
      </w:r>
      <w:r>
        <w:rPr>
          <w:b/>
          <w:lang w:val="hy-AM"/>
        </w:rPr>
        <w:t xml:space="preserve"> խոր տնտեսական ճգնաժամի պայմաններում</w:t>
      </w:r>
      <w:r w:rsidRPr="00855F6A">
        <w:rPr>
          <w:b/>
          <w:lang w:val="hy-AM"/>
        </w:rPr>
        <w:t xml:space="preserve"> պետական բյուջեի պակասուրդի ավելացման, ինչպես նաև ԱՄՆ դոլարի նկատմամբ ՀՀ դրամի արժեզրկման արդյունքում ՀՀ կառավարության պարտք/ՀՆԱ ցուցանիշը կազմել է 63.5%՝ նախորդ տարվա նկատմամբ աճելով 13.4 տոկոսային կետով և հատելով հարկաբյուջետային կանոններով սահմանված 60% առավելագույն շեմը:</w:t>
      </w:r>
      <w:r>
        <w:rPr>
          <w:b/>
          <w:lang w:val="hy-AM"/>
        </w:rPr>
        <w:t xml:space="preserve"> </w:t>
      </w:r>
      <w:r>
        <w:rPr>
          <w:lang w:val="hy-AM"/>
        </w:rPr>
        <w:t>Արդյունքում խաթարվել է ՀՀ կառավարության պարտքի կայունության և հարկաբյուջետային կայունության հեռանկարը, իսկ դրանց շուրջ ձևավորված ռիսկերը մեղմելու և չեզոքացնելու համար` հարկաբյուջետային կանոնների պահանջով, 2021թ. հուլիսին ՀՀ կառավարությունն ընդունել է պարտքի բեռի նվազեցման 2022-2026թթ. ծրագիրը: Մտահոգիչ է, որ ծրա</w:t>
      </w:r>
      <w:r w:rsidR="00EC0F23">
        <w:rPr>
          <w:lang w:val="hy-AM"/>
        </w:rPr>
        <w:t>գիրը</w:t>
      </w:r>
      <w:r>
        <w:rPr>
          <w:lang w:val="hy-AM"/>
        </w:rPr>
        <w:t xml:space="preserve"> ՀՀ Ազգային ժողով</w:t>
      </w:r>
      <w:r w:rsidR="00333D8B">
        <w:rPr>
          <w:lang w:val="hy-AM"/>
        </w:rPr>
        <w:t xml:space="preserve">ում </w:t>
      </w:r>
      <w:r w:rsidR="00EC0F23">
        <w:rPr>
          <w:lang w:val="hy-AM"/>
        </w:rPr>
        <w:t>քննարկ</w:t>
      </w:r>
      <w:r w:rsidR="00333D8B">
        <w:rPr>
          <w:lang w:val="hy-AM"/>
        </w:rPr>
        <w:t>ելու</w:t>
      </w:r>
      <w:r>
        <w:rPr>
          <w:lang w:val="hy-AM"/>
        </w:rPr>
        <w:t>` հարկաբյուջետային կանոնների պահանջը չի կատար</w:t>
      </w:r>
      <w:r w:rsidR="00333D8B">
        <w:rPr>
          <w:lang w:val="hy-AM"/>
        </w:rPr>
        <w:t>վ</w:t>
      </w:r>
      <w:r>
        <w:rPr>
          <w:lang w:val="hy-AM"/>
        </w:rPr>
        <w:t>ել</w:t>
      </w:r>
      <w:r w:rsidRPr="00673A50">
        <w:rPr>
          <w:lang w:val="hy-AM"/>
        </w:rPr>
        <w:t xml:space="preserve"> </w:t>
      </w:r>
      <w:r>
        <w:rPr>
          <w:lang w:val="hy-AM"/>
        </w:rPr>
        <w:t>և գործընթաց</w:t>
      </w:r>
      <w:r w:rsidR="00EC0F23">
        <w:rPr>
          <w:lang w:val="hy-AM"/>
        </w:rPr>
        <w:t>ը</w:t>
      </w:r>
      <w:r>
        <w:rPr>
          <w:lang w:val="hy-AM"/>
        </w:rPr>
        <w:t xml:space="preserve"> </w:t>
      </w:r>
      <w:r w:rsidR="00EC0F23">
        <w:rPr>
          <w:lang w:val="hy-AM"/>
        </w:rPr>
        <w:t xml:space="preserve">կրել է </w:t>
      </w:r>
      <w:r>
        <w:rPr>
          <w:lang w:val="hy-AM"/>
        </w:rPr>
        <w:t xml:space="preserve">ձևական բնույթ: Ընդ որում, ՀՀ կառավարության 2021թ. ծրագրով ևս, կառավարությունը հարկադրված է եղել շեշտել պարտքի կայունության ապահովման թիրախավորումը: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62"/>
      </w:tblGrid>
      <w:tr w:rsidR="002B340E" w:rsidRPr="00D00797" w14:paraId="213606CB" w14:textId="77777777" w:rsidTr="00FC2CE7">
        <w:tc>
          <w:tcPr>
            <w:tcW w:w="9062" w:type="dxa"/>
            <w:shd w:val="clear" w:color="auto" w:fill="EDEDED" w:themeFill="accent3" w:themeFillTint="33"/>
          </w:tcPr>
          <w:p w14:paraId="67B4BD5F" w14:textId="77777777" w:rsidR="002B340E" w:rsidRPr="00507594" w:rsidRDefault="002B340E" w:rsidP="00FC2CE7">
            <w:pPr>
              <w:spacing w:before="60" w:after="60" w:line="276" w:lineRule="auto"/>
              <w:jc w:val="center"/>
              <w:rPr>
                <w:sz w:val="20"/>
                <w:szCs w:val="20"/>
                <w:lang w:val="hy-AM"/>
              </w:rPr>
            </w:pPr>
            <w:r w:rsidRPr="00507594">
              <w:rPr>
                <w:color w:val="00B0F0"/>
                <w:sz w:val="22"/>
                <w:szCs w:val="20"/>
                <w:lang w:val="hy-AM"/>
              </w:rPr>
              <w:t>ՀՀ կառավարության 2021թ. ծրագիր</w:t>
            </w:r>
          </w:p>
          <w:p w14:paraId="1BD1D083" w14:textId="77777777" w:rsidR="002B340E" w:rsidRPr="00A068F3" w:rsidRDefault="002B340E" w:rsidP="002B340E">
            <w:pPr>
              <w:pStyle w:val="ListParagraph"/>
              <w:numPr>
                <w:ilvl w:val="0"/>
                <w:numId w:val="26"/>
              </w:numPr>
              <w:spacing w:before="60" w:after="60" w:line="276" w:lineRule="auto"/>
              <w:ind w:left="313" w:hanging="266"/>
              <w:rPr>
                <w:sz w:val="20"/>
                <w:szCs w:val="20"/>
                <w:lang w:val="hy-AM"/>
              </w:rPr>
            </w:pPr>
            <w:r w:rsidRPr="00A068F3">
              <w:rPr>
                <w:sz w:val="20"/>
                <w:szCs w:val="20"/>
                <w:lang w:val="hy-AM"/>
              </w:rPr>
              <w:t>Պետական բյուջեի պակասուրդը պահպանվելու է ընդունելի ցածր մակարդակի վրա՝ երաշխավորելով պետական պարտքի կառավարելիությունը և կայունությունը:</w:t>
            </w:r>
          </w:p>
          <w:p w14:paraId="5B38F3C0" w14:textId="77777777" w:rsidR="002B340E" w:rsidRPr="00A068F3" w:rsidRDefault="002B340E" w:rsidP="002B340E">
            <w:pPr>
              <w:pStyle w:val="ListParagraph"/>
              <w:numPr>
                <w:ilvl w:val="0"/>
                <w:numId w:val="26"/>
              </w:numPr>
              <w:spacing w:before="60" w:after="60" w:line="276" w:lineRule="auto"/>
              <w:ind w:left="313" w:hanging="266"/>
              <w:rPr>
                <w:sz w:val="20"/>
                <w:szCs w:val="20"/>
                <w:lang w:val="hy-AM"/>
              </w:rPr>
            </w:pPr>
            <w:r w:rsidRPr="00A068F3">
              <w:rPr>
                <w:sz w:val="20"/>
                <w:szCs w:val="20"/>
                <w:lang w:val="hy-AM"/>
              </w:rPr>
              <w:t>Միջնաժամկետ հատվածում հարկաբյուջետային կայունությունը երաշխավորելու համար Կառավարությունը շեշտադրելու է տնտեսության ներուժի բարձրացումը և բարձր տնտեսական աճի հաշվին պարտքի բեռի նվազեցումը։ Տնտեսական ներուժի ավելացման նպատակով Կառավարությունն առաջնահերթ նշանակություն է տալու ենթակառուցվածքներին ուղղվող կապիտալ ծախսերի մակարդակի բարձրացմանը և պետական բյուջեի կապիտալ ծախսերի պլանավորման և իրականացման փուլերում առկա հիմնախնդիրների լուծմանը:</w:t>
            </w:r>
          </w:p>
          <w:p w14:paraId="32EBF580" w14:textId="6BC72700" w:rsidR="002B340E" w:rsidRPr="00A068F3" w:rsidRDefault="002B340E" w:rsidP="002B340E">
            <w:pPr>
              <w:pStyle w:val="ListParagraph"/>
              <w:numPr>
                <w:ilvl w:val="0"/>
                <w:numId w:val="26"/>
              </w:numPr>
              <w:spacing w:before="60" w:after="60" w:line="276" w:lineRule="auto"/>
              <w:ind w:left="313" w:hanging="266"/>
              <w:rPr>
                <w:sz w:val="20"/>
                <w:szCs w:val="20"/>
                <w:lang w:val="hy-AM"/>
              </w:rPr>
            </w:pPr>
            <w:r w:rsidRPr="00A068F3">
              <w:rPr>
                <w:sz w:val="20"/>
                <w:szCs w:val="20"/>
                <w:lang w:val="hy-AM"/>
              </w:rPr>
              <w:t xml:space="preserve">Այս քաղաքականությունների արդյունքում նպատակ ունենք ապահովել ... </w:t>
            </w:r>
            <w:r w:rsidRPr="00A068F3">
              <w:rPr>
                <w:b/>
                <w:sz w:val="20"/>
                <w:szCs w:val="20"/>
                <w:lang w:val="hy-AM"/>
              </w:rPr>
              <w:t>ՀՀ Կառավարության պարտք/ՀՆԱ ցուցանիշի նվազում՝ մինչև 2026թ. ապահովելով 60%-ից ցածր թիրախը</w:t>
            </w:r>
            <w:r w:rsidRPr="00A068F3">
              <w:rPr>
                <w:sz w:val="20"/>
                <w:szCs w:val="20"/>
                <w:lang w:val="hy-AM"/>
              </w:rPr>
              <w:t xml:space="preserve">, ինչպես նաև </w:t>
            </w:r>
            <w:r w:rsidRPr="00A068F3">
              <w:rPr>
                <w:b/>
                <w:sz w:val="20"/>
                <w:szCs w:val="20"/>
                <w:lang w:val="hy-AM"/>
              </w:rPr>
              <w:t>ապահովել վերադարձը հարկաբյուջետային կանոններով սահմանված պետական ֆինանսների «Ոսկե կանոնների» ամբողջական պահպանմանը</w:t>
            </w:r>
            <w:r w:rsidRPr="00A068F3">
              <w:rPr>
                <w:sz w:val="20"/>
                <w:szCs w:val="20"/>
                <w:lang w:val="hy-AM"/>
              </w:rPr>
              <w:t>:</w:t>
            </w:r>
          </w:p>
        </w:tc>
      </w:tr>
    </w:tbl>
    <w:p w14:paraId="30AF64AD" w14:textId="77777777" w:rsidR="002B340E" w:rsidRDefault="002B340E" w:rsidP="002D0EC3">
      <w:pPr>
        <w:spacing w:before="240"/>
        <w:rPr>
          <w:lang w:val="hy-AM"/>
        </w:rPr>
      </w:pPr>
      <w:r>
        <w:rPr>
          <w:lang w:val="hy-AM"/>
        </w:rPr>
        <w:lastRenderedPageBreak/>
        <w:t>Ըստ էության, ՀՀ կառավարության 2021թ. ծրագրում և պարտքի բեռի նվազեցման 2022-2026թթ. ծրագրում ներկայացված թիրախներն ունեն նույն նպատակադրումը: Ուստի, կառավարության 2021թ. ծրագրի թիրախները կարելի է գնահատել պարտքի բեռի նվազեցման ծրագրի միջոցով:</w:t>
      </w:r>
    </w:p>
    <w:p w14:paraId="0FBE743A" w14:textId="1F264D6D" w:rsidR="005E07E5" w:rsidRDefault="005E07E5">
      <w:pPr>
        <w:spacing w:before="240" w:after="0"/>
        <w:rPr>
          <w:lang w:val="hy-AM"/>
        </w:rPr>
      </w:pPr>
      <w:r>
        <w:rPr>
          <w:lang w:val="hy-AM"/>
        </w:rPr>
        <w:t>Այսպես</w:t>
      </w:r>
      <w:r w:rsidR="000F233F">
        <w:rPr>
          <w:lang w:val="hy-AM"/>
        </w:rPr>
        <w:t>,</w:t>
      </w:r>
      <w:r>
        <w:rPr>
          <w:lang w:val="hy-AM"/>
        </w:rPr>
        <w:t xml:space="preserve"> </w:t>
      </w:r>
      <w:r w:rsidRPr="00596624">
        <w:rPr>
          <w:lang w:val="hy-AM"/>
        </w:rPr>
        <w:t>պարտքի բեռի նվազեցման ծրագր</w:t>
      </w:r>
      <w:r>
        <w:rPr>
          <w:lang w:val="hy-AM"/>
        </w:rPr>
        <w:t>ով</w:t>
      </w:r>
      <w:r w:rsidR="007A4606">
        <w:rPr>
          <w:rStyle w:val="FootnoteReference"/>
          <w:lang w:val="hy-AM"/>
        </w:rPr>
        <w:footnoteReference w:id="53"/>
      </w:r>
      <w:r w:rsidRPr="00596624">
        <w:rPr>
          <w:lang w:val="hy-AM"/>
        </w:rPr>
        <w:t xml:space="preserve"> նախատեսվում է 2026 թվականին </w:t>
      </w:r>
      <w:r>
        <w:rPr>
          <w:lang w:val="hy-AM"/>
        </w:rPr>
        <w:t>ՀՀ կառավարության պարտքի կշիռը</w:t>
      </w:r>
      <w:r w:rsidRPr="00596624">
        <w:rPr>
          <w:lang w:val="hy-AM"/>
        </w:rPr>
        <w:t xml:space="preserve"> ՀՆԱ-</w:t>
      </w:r>
      <w:r>
        <w:rPr>
          <w:lang w:val="hy-AM"/>
        </w:rPr>
        <w:t>ում հասցնել</w:t>
      </w:r>
      <w:r w:rsidRPr="00596624">
        <w:rPr>
          <w:lang w:val="hy-AM"/>
        </w:rPr>
        <w:t xml:space="preserve"> 53.8%-</w:t>
      </w:r>
      <w:r>
        <w:rPr>
          <w:lang w:val="hy-AM"/>
        </w:rPr>
        <w:t xml:space="preserve">ի </w:t>
      </w:r>
      <w:r w:rsidRPr="00186240">
        <w:rPr>
          <w:lang w:val="hy-AM"/>
        </w:rPr>
        <w:t>(</w:t>
      </w:r>
      <w:r w:rsidR="00460277">
        <w:rPr>
          <w:lang w:val="hy-AM"/>
        </w:rPr>
        <w:t>Գ</w:t>
      </w:r>
      <w:r>
        <w:rPr>
          <w:lang w:val="hy-AM"/>
        </w:rPr>
        <w:t xml:space="preserve">ծապատկեր </w:t>
      </w:r>
      <w:r w:rsidRPr="00186240">
        <w:rPr>
          <w:lang w:val="hy-AM"/>
        </w:rPr>
        <w:t>3)</w:t>
      </w:r>
      <w:r w:rsidRPr="00596624">
        <w:rPr>
          <w:lang w:val="hy-AM"/>
        </w:rPr>
        <w:t>:</w:t>
      </w:r>
      <w:r>
        <w:rPr>
          <w:lang w:val="hy-AM"/>
        </w:rPr>
        <w:t xml:space="preserve"> Ընդ որում նկատենք, որ ՀՀ կառավարության սպասումներով 2021թ. ցուցանիշը կրկին պահպանվելու է բավական բարձր մակարդակում </w:t>
      </w:r>
      <w:r w:rsidRPr="00186240">
        <w:rPr>
          <w:lang w:val="hy-AM"/>
        </w:rPr>
        <w:t>(</w:t>
      </w:r>
      <w:r>
        <w:rPr>
          <w:lang w:val="hy-AM"/>
        </w:rPr>
        <w:t>62.3</w:t>
      </w:r>
      <w:r w:rsidRPr="00186240">
        <w:rPr>
          <w:lang w:val="hy-AM"/>
        </w:rPr>
        <w:t xml:space="preserve">%), </w:t>
      </w:r>
      <w:r>
        <w:rPr>
          <w:lang w:val="hy-AM"/>
        </w:rPr>
        <w:t>պարտքի կշիռը ՀՆԱ-ում 60</w:t>
      </w:r>
      <w:r w:rsidRPr="00186240">
        <w:rPr>
          <w:lang w:val="hy-AM"/>
        </w:rPr>
        <w:t>%-</w:t>
      </w:r>
      <w:r>
        <w:rPr>
          <w:lang w:val="hy-AM"/>
        </w:rPr>
        <w:t>ից ցածր կլինի միայն 2023թ. վերջին: Ուստի կարելի է ակնկալել, որ առնվազն առաջիկա երկու տարում ՀՀ կառավարությունը գործելու է հարկաբյուջետային խստացված կանոնների ներքո:</w:t>
      </w:r>
    </w:p>
    <w:p w14:paraId="53B60CE6" w14:textId="77777777" w:rsidR="002B340E" w:rsidRDefault="002B340E" w:rsidP="002B340E">
      <w:pPr>
        <w:spacing w:after="0"/>
        <w:rPr>
          <w:lang w:val="hy-AM"/>
        </w:rPr>
      </w:pPr>
    </w:p>
    <w:p w14:paraId="0A19BB69" w14:textId="77777777" w:rsidR="002B340E" w:rsidRPr="00647332" w:rsidRDefault="002B340E" w:rsidP="002B340E">
      <w:pPr>
        <w:spacing w:after="120"/>
        <w:ind w:firstLine="0"/>
        <w:jc w:val="center"/>
        <w:rPr>
          <w:b/>
          <w:lang w:val="hy-AM"/>
        </w:rPr>
      </w:pPr>
      <w:r w:rsidRPr="00647332">
        <w:rPr>
          <w:b/>
          <w:lang w:val="hy-AM"/>
        </w:rPr>
        <w:t xml:space="preserve">Գծապատկեր </w:t>
      </w:r>
      <w:r w:rsidR="000C0684">
        <w:rPr>
          <w:b/>
          <w:lang w:val="hy-AM"/>
        </w:rPr>
        <w:t>3</w:t>
      </w:r>
      <w:r w:rsidRPr="00647332">
        <w:rPr>
          <w:b/>
        </w:rPr>
        <w:t xml:space="preserve">. </w:t>
      </w:r>
      <w:r w:rsidRPr="00647332">
        <w:rPr>
          <w:b/>
          <w:lang w:val="hy-AM"/>
        </w:rPr>
        <w:t xml:space="preserve">Կառավարության պարտքը, </w:t>
      </w:r>
      <w:r w:rsidRPr="00647332">
        <w:rPr>
          <w:b/>
        </w:rPr>
        <w:t xml:space="preserve">% </w:t>
      </w:r>
      <w:r w:rsidRPr="00647332">
        <w:rPr>
          <w:b/>
          <w:lang w:val="hy-AM"/>
        </w:rPr>
        <w:t>ՀՆԱ-ում</w:t>
      </w:r>
    </w:p>
    <w:p w14:paraId="1837552F" w14:textId="77777777" w:rsidR="002B340E" w:rsidRDefault="002B340E" w:rsidP="002B340E">
      <w:pPr>
        <w:spacing w:before="240"/>
        <w:ind w:firstLine="0"/>
        <w:rPr>
          <w:lang w:val="hy-AM"/>
        </w:rPr>
      </w:pPr>
      <w:r>
        <w:rPr>
          <w:noProof/>
        </w:rPr>
        <w:drawing>
          <wp:inline distT="0" distB="0" distL="0" distR="0" wp14:anchorId="2986A110" wp14:editId="2CDDA6D9">
            <wp:extent cx="5760000" cy="2700000"/>
            <wp:effectExtent l="0" t="0" r="1270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ABD328" w14:textId="1B750FDD" w:rsidR="002B340E" w:rsidRDefault="002B340E" w:rsidP="002B340E">
      <w:pPr>
        <w:spacing w:before="240"/>
        <w:rPr>
          <w:lang w:val="hy-AM"/>
        </w:rPr>
      </w:pPr>
      <w:r>
        <w:rPr>
          <w:lang w:val="hy-AM"/>
        </w:rPr>
        <w:t>Պարտքի բեռի նվազեցման ծրագրում նշվում է, որ պարտքի հետագիծը նվազեցնելու համար իրականացվելու է հարկաբյուջետային կոնսոլիդացիա` հիմնականում հարկային եկամուտներ/ՀՆԱ հարաբերակցության աճի միջոցով` ծախսերի կշիռը ՀՆԱ-ում պահպանելով գրեթե նույն մակարդակում: Միևնույն ժամանակ, նախատեսվում է աստիճանաբար ավելացնել կապիտալ ծախսերի կշիռը ՀՆԱ-ում և նվազեցնել ընթացիկ ծախսերի կշիռը: Մասնավորապես, ակնկալվում է բյուջեի եկամուտների կշիռը ՀՆԱ-ում մինչև ծրագրի ավարտը 2021թ. համեմատ ավելացնել 1.6 տոկոսային կետով` հասցնելով 25.1</w:t>
      </w:r>
      <w:r w:rsidRPr="00186240">
        <w:rPr>
          <w:lang w:val="hy-AM"/>
        </w:rPr>
        <w:t>%-</w:t>
      </w:r>
      <w:r>
        <w:rPr>
          <w:lang w:val="hy-AM"/>
        </w:rPr>
        <w:t xml:space="preserve">ի: Ընդ որում, հարկային եկամուտները` համաձայն ծրագրի, 2026 թվականի վերջում 2021-ի համեմատ պետք է ավելանան 1.8 տոկոսային կետով: Հարկային եկամուտների </w:t>
      </w:r>
      <w:r>
        <w:rPr>
          <w:lang w:val="hy-AM"/>
        </w:rPr>
        <w:lastRenderedPageBreak/>
        <w:t xml:space="preserve">ավելացումը պետք է տեղի ունենա հիմնականում հարկային վարչարարության բարելավման միջոցով: </w:t>
      </w:r>
    </w:p>
    <w:p w14:paraId="74D08703" w14:textId="74EE4CC6" w:rsidR="002B340E" w:rsidRDefault="002B340E" w:rsidP="002B340E">
      <w:pPr>
        <w:spacing w:before="240"/>
        <w:rPr>
          <w:lang w:val="hy-AM"/>
        </w:rPr>
      </w:pPr>
      <w:r>
        <w:rPr>
          <w:lang w:val="hy-AM"/>
        </w:rPr>
        <w:t>Պետական բյուջեի ծախսերի կշիռը ՀՆԱ-ում</w:t>
      </w:r>
      <w:r>
        <w:rPr>
          <w:vanish/>
          <w:lang w:val="hy-AM"/>
        </w:rPr>
        <w:t>ՀՆԱՀՆհ</w:t>
      </w:r>
      <w:r>
        <w:rPr>
          <w:lang w:val="hy-AM"/>
        </w:rPr>
        <w:t xml:space="preserve"> ծրագրի ավարտին 2021-ի համեմատ նախատեսվում է կրճատել 1.1 տոկոսային կետով, որը պայմանավորված կլինի ընթացիկ ծախսերի կշռի 3.9 տոկոսային կետով կրճատմամբ և կապիտալ ծախսերի 2.8 տոկոսային կետով ավելացմամբ: Արդյունքում ակնկալվում է 2026թ. ապահովել ընթացիկ ծախսեր/ՀՆԱ հարաբերակցության 21.4</w:t>
      </w:r>
      <w:r w:rsidRPr="00186240">
        <w:rPr>
          <w:lang w:val="hy-AM"/>
        </w:rPr>
        <w:t xml:space="preserve">%, </w:t>
      </w:r>
      <w:r>
        <w:rPr>
          <w:lang w:val="hy-AM"/>
        </w:rPr>
        <w:t>և կապիտալ ծախսեր/ՀՆԱ հարաբերակցության 5.7</w:t>
      </w:r>
      <w:r w:rsidRPr="00186240">
        <w:rPr>
          <w:lang w:val="hy-AM"/>
        </w:rPr>
        <w:t>%</w:t>
      </w:r>
      <w:r>
        <w:rPr>
          <w:lang w:val="hy-AM"/>
        </w:rPr>
        <w:t xml:space="preserve"> մակարդակ: Պետական եկամուտների ավելացման և ծախսերի կրճատման արդյունքում պետական բյուջեի պակասուրդը 2026-ին ակնկալվում է կայունացնել ՀՆԱ-ի 1.9</w:t>
      </w:r>
      <w:r w:rsidRPr="00186240">
        <w:rPr>
          <w:lang w:val="hy-AM"/>
        </w:rPr>
        <w:t>%-</w:t>
      </w:r>
      <w:r>
        <w:rPr>
          <w:lang w:val="hy-AM"/>
        </w:rPr>
        <w:t xml:space="preserve">ի շուրջ, ինչը նշանակում է, որ 2021-ի համեմատ այս ցուցանիշը կկրճատվի 2.7 տոկոսային կետով: </w:t>
      </w:r>
    </w:p>
    <w:p w14:paraId="7ED863FD" w14:textId="77777777" w:rsidR="002B340E" w:rsidRDefault="002B340E" w:rsidP="002B340E">
      <w:pPr>
        <w:spacing w:before="240"/>
        <w:rPr>
          <w:b/>
          <w:lang w:val="hy-AM"/>
        </w:rPr>
      </w:pPr>
      <w:r w:rsidRPr="00BF45E3">
        <w:rPr>
          <w:b/>
          <w:lang w:val="hy-AM"/>
        </w:rPr>
        <w:t>Այդուհանդերձ, ՀՀ կառավարության պարտքի բեռի նվազեցման ծրագիրը որոշ մտահոգությունների տեղիք է տալիս:</w:t>
      </w:r>
      <w:r>
        <w:rPr>
          <w:b/>
          <w:lang w:val="hy-AM"/>
        </w:rPr>
        <w:t xml:space="preserve"> </w:t>
      </w:r>
    </w:p>
    <w:p w14:paraId="4E80E250" w14:textId="77777777" w:rsidR="002B340E" w:rsidRDefault="002B340E" w:rsidP="002B340E">
      <w:pPr>
        <w:spacing w:before="240"/>
        <w:rPr>
          <w:lang w:val="hy-AM"/>
        </w:rPr>
      </w:pPr>
      <w:r>
        <w:rPr>
          <w:lang w:val="hy-AM"/>
        </w:rPr>
        <w:t xml:space="preserve">Հարկաբյուջետային քաղաքականության վերոգրյալ թիրախների մասով չկրկնվելու համար պարզապես նշենք, որ ինչպես ցույց տվեց վերլուծությունը` ՀՀ ներկայիս կառավարությանը նախկինում չի հաջողվել գրանցել որևէ էական առաջընթաց, ավելին` հատկապես ծախսային քաղաքականության մասով գրանցվել են միայն մտահոգիչ արդյունքներ: Ընդ որում, հարկաբյուջետային քաղաքականության ձախողումը շարունակվում է նաև 2021 թվականին, ինչը նշանակում է, որ նախկինում թույլ տրված սխալներից ՀՀ կառավարությունը դեռևս դասեր չի քաղել, կամ պարզապես ունակ չէ դրանց համար արդյունավետ լուծումներ գտնելու և առկա խնդիրները լուծելու: </w:t>
      </w:r>
    </w:p>
    <w:p w14:paraId="4176E537" w14:textId="762E510C" w:rsidR="002B340E" w:rsidRDefault="00486004" w:rsidP="002B340E">
      <w:pPr>
        <w:spacing w:before="240"/>
        <w:rPr>
          <w:lang w:val="hy-AM"/>
        </w:rPr>
      </w:pPr>
      <w:r>
        <w:rPr>
          <w:lang w:val="hy-AM"/>
        </w:rPr>
        <w:t>Ց</w:t>
      </w:r>
      <w:r w:rsidR="002B340E">
        <w:rPr>
          <w:lang w:val="hy-AM"/>
        </w:rPr>
        <w:t>ավոք</w:t>
      </w:r>
      <w:r w:rsidR="009713A5">
        <w:rPr>
          <w:lang w:val="hy-AM"/>
        </w:rPr>
        <w:t>,</w:t>
      </w:r>
      <w:r w:rsidR="002B340E">
        <w:rPr>
          <w:lang w:val="hy-AM"/>
        </w:rPr>
        <w:t xml:space="preserve"> արդիական է մնում պետական ծախսերի թերակատարման փաստը, ինչը հիմքեր է ստեղծում ենթադրելու, որ պարտքի հետագիծը նվազեցնելու համար ՀՀ կառավարությանը չի հաջողվելու իրականացնել ծախսային քաղաքականության մասով խոստացված</w:t>
      </w:r>
      <w:r w:rsidR="002B340E" w:rsidRPr="00F6585E">
        <w:rPr>
          <w:lang w:val="hy-AM"/>
        </w:rPr>
        <w:t xml:space="preserve"> </w:t>
      </w:r>
      <w:r w:rsidR="005B2A4E">
        <w:rPr>
          <w:lang w:val="hy-AM"/>
        </w:rPr>
        <w:t>բարելավումները</w:t>
      </w:r>
      <w:r w:rsidR="002B340E">
        <w:rPr>
          <w:lang w:val="hy-AM"/>
        </w:rPr>
        <w:t>: Մասնավորապես, պետական ծախսերի կառուցվածքում կապիտալ ծախսերի կշռի ավելացման թիրախավորումը ենթադրաբար ուղեկցվելու է այդ ծախսերի զգալի թերակատարմամբ</w:t>
      </w:r>
      <w:r w:rsidR="009713A5">
        <w:rPr>
          <w:lang w:val="hy-AM"/>
        </w:rPr>
        <w:t>,</w:t>
      </w:r>
      <w:r w:rsidR="002B340E">
        <w:rPr>
          <w:lang w:val="hy-AM"/>
        </w:rPr>
        <w:t xml:space="preserve"> ինչպես տեղի է ունեցել 2018-2020 թվականներին և ինչպես շարունակվում է 2021թ. ընթացքում: Մտահոգիչ է նաև, որ ՀՀ կառավարությունը դեռևս չի իրականացրել ոլորտում առկա խնդիրների ախտորոշում և անհասկանալի է, թե նման տեմպերով ինչպես է վերջինս ակնկալում գրանցել դրական արդյունքներ:</w:t>
      </w:r>
    </w:p>
    <w:p w14:paraId="6998887A" w14:textId="0C4B829E" w:rsidR="00A60FE8" w:rsidRDefault="002B340E">
      <w:pPr>
        <w:spacing w:before="240"/>
        <w:rPr>
          <w:lang w:val="hy-AM"/>
        </w:rPr>
      </w:pPr>
      <w:r>
        <w:rPr>
          <w:lang w:val="hy-AM"/>
        </w:rPr>
        <w:t xml:space="preserve">Մյուս կողմից, պետական եկամուտների` մասնավորապես հարկային եկամուտների ավելացման նպատակադրումը ևս բավական անորոշ է, քանի որ ՀՀ </w:t>
      </w:r>
      <w:r>
        <w:rPr>
          <w:lang w:val="hy-AM"/>
        </w:rPr>
        <w:lastRenderedPageBreak/>
        <w:t>կառավարության ներկայացրած ծրագրով նշվում է «հարկային վարչարարության բարելավման» մասին, սակայն բաց է թողնված, թե կոնկրետ ինչ միջոցառումների և մեխանիզմների միջոցով է վերջինս ակնկալում հարկահավաքության գործընթացի բարելավումը: Փաստ է, որ 2018-2019թթ. հարկեր/ՀՆԱ հարաբերակցության աճը հիմնականում մեկանգամյա գործոնների կարճաժամկետ ազդեցության հետևանք էր, ուստի նախկին փորձը որպես հաջողված ներկայացնել` ևս չի ստացվի:</w:t>
      </w:r>
      <w:r w:rsidR="00A60FE8">
        <w:rPr>
          <w:lang w:val="hy-AM"/>
        </w:rPr>
        <w:br w:type="page"/>
      </w:r>
    </w:p>
    <w:bookmarkStart w:id="20" w:name="_Toc88138992"/>
    <w:p w14:paraId="1BB8AEBA" w14:textId="6AA198AB" w:rsidR="00342ABF" w:rsidRDefault="00880E77" w:rsidP="00F4691D">
      <w:pPr>
        <w:pStyle w:val="Heading1"/>
      </w:pPr>
      <w:r w:rsidRPr="00F81295">
        <w:rPr>
          <w:i/>
          <w:noProof/>
          <w:sz w:val="24"/>
          <w:lang w:val="en-US"/>
        </w:rPr>
        <w:lastRenderedPageBreak/>
        <mc:AlternateContent>
          <mc:Choice Requires="wps">
            <w:drawing>
              <wp:anchor distT="0" distB="0" distL="114300" distR="114300" simplePos="0" relativeHeight="251673600" behindDoc="1" locked="0" layoutInCell="1" allowOverlap="1" wp14:anchorId="0B94CD51" wp14:editId="7606F1A4">
                <wp:simplePos x="0" y="0"/>
                <wp:positionH relativeFrom="page">
                  <wp:posOffset>-1057275</wp:posOffset>
                </wp:positionH>
                <wp:positionV relativeFrom="paragraph">
                  <wp:posOffset>-32716</wp:posOffset>
                </wp:positionV>
                <wp:extent cx="3371353" cy="320040"/>
                <wp:effectExtent l="0" t="0" r="635" b="3810"/>
                <wp:wrapNone/>
                <wp:docPr id="4" name="Прямоугольник 3"/>
                <wp:cNvGraphicFramePr/>
                <a:graphic xmlns:a="http://schemas.openxmlformats.org/drawingml/2006/main">
                  <a:graphicData uri="http://schemas.microsoft.com/office/word/2010/wordprocessingShape">
                    <wps:wsp>
                      <wps:cNvSpPr/>
                      <wps:spPr>
                        <a:xfrm>
                          <a:off x="0" y="0"/>
                          <a:ext cx="3371353" cy="320040"/>
                        </a:xfrm>
                        <a:prstGeom prst="rect">
                          <a:avLst/>
                        </a:prstGeom>
                        <a:solidFill>
                          <a:srgbClr val="00B3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496839" id="Прямоугольник 3" o:spid="_x0000_s1026" style="position:absolute;margin-left:-83.25pt;margin-top:-2.6pt;width:265.45pt;height:25.2pt;z-index:-2516428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" fillcolor="#00b3c4" stroked="f" strokeweight="1pt">
                <w10:wrap anchorx="page"/>
              </v:rect>
            </w:pict>
          </mc:Fallback>
        </mc:AlternateContent>
      </w:r>
      <w:r w:rsidR="00A60FE8">
        <w:t>ԱՄՓՈՓՈՒՄ</w:t>
      </w:r>
      <w:bookmarkEnd w:id="20"/>
    </w:p>
    <w:p w14:paraId="1713D975" w14:textId="37516B30" w:rsidR="007A6D6D" w:rsidRDefault="00A008FA" w:rsidP="007A6D6D">
      <w:pPr>
        <w:spacing w:before="240"/>
        <w:rPr>
          <w:lang w:val="hy-AM"/>
        </w:rPr>
      </w:pPr>
      <w:r>
        <w:rPr>
          <w:lang w:val="hy-AM"/>
        </w:rPr>
        <w:t>Եվ այսպես, ամփոփելով սույն վերլուծությունը</w:t>
      </w:r>
      <w:r w:rsidR="009713A5">
        <w:rPr>
          <w:lang w:val="hy-AM"/>
        </w:rPr>
        <w:t>,</w:t>
      </w:r>
      <w:r>
        <w:rPr>
          <w:lang w:val="hy-AM"/>
        </w:rPr>
        <w:t xml:space="preserve"> կարող ենք արձանագրել, որ ՀՀ ներկայիս կառավարության գործունեությունը </w:t>
      </w:r>
      <w:r w:rsidRPr="00186240">
        <w:rPr>
          <w:lang w:val="hy-AM"/>
        </w:rPr>
        <w:t xml:space="preserve">2018 </w:t>
      </w:r>
      <w:r>
        <w:rPr>
          <w:lang w:val="hy-AM"/>
        </w:rPr>
        <w:t xml:space="preserve">թվականից ի վեր չի հանգեցրել ՀՀ սոցիալ-տնտեսական զարգացման որևէ էական առաջընթացի, այլ </w:t>
      </w:r>
      <w:r w:rsidR="003D18C6">
        <w:rPr>
          <w:lang w:val="hy-AM"/>
        </w:rPr>
        <w:t>ընդ</w:t>
      </w:r>
      <w:r>
        <w:rPr>
          <w:lang w:val="hy-AM"/>
        </w:rPr>
        <w:t>հակառակը` խորապես վատթարացել է ինչպես ՀՀ տնտեսության</w:t>
      </w:r>
      <w:r w:rsidR="007A6D6D">
        <w:rPr>
          <w:lang w:val="hy-AM"/>
        </w:rPr>
        <w:t xml:space="preserve"> վիճակը</w:t>
      </w:r>
      <w:r>
        <w:rPr>
          <w:lang w:val="hy-AM"/>
        </w:rPr>
        <w:t>, այնպես էլ բնակչության կյանքի որակն ու կենսամակարդակը:</w:t>
      </w:r>
    </w:p>
    <w:p w14:paraId="6F8A26B5" w14:textId="5835200C" w:rsidR="009073F3" w:rsidRPr="00C376D3" w:rsidRDefault="000B282A" w:rsidP="007A6D6D">
      <w:pPr>
        <w:spacing w:before="240"/>
        <w:rPr>
          <w:b/>
          <w:lang w:val="hy-AM"/>
        </w:rPr>
      </w:pPr>
      <w:r w:rsidRPr="00C376D3">
        <w:rPr>
          <w:b/>
          <w:lang w:val="hy-AM"/>
        </w:rPr>
        <w:t xml:space="preserve">ՀՀ կառավարության </w:t>
      </w:r>
      <w:r w:rsidRPr="00186240">
        <w:rPr>
          <w:b/>
          <w:lang w:val="hy-AM"/>
        </w:rPr>
        <w:t xml:space="preserve">2019թ. </w:t>
      </w:r>
      <w:r w:rsidRPr="00C376D3">
        <w:rPr>
          <w:b/>
          <w:lang w:val="hy-AM"/>
        </w:rPr>
        <w:t>ծրագրով սահմանված տնտեսական</w:t>
      </w:r>
      <w:r w:rsidR="009F5157">
        <w:rPr>
          <w:b/>
          <w:lang w:val="hy-AM"/>
        </w:rPr>
        <w:t xml:space="preserve"> քաղաքականության առանցքային</w:t>
      </w:r>
      <w:r w:rsidRPr="00C376D3">
        <w:rPr>
          <w:b/>
          <w:lang w:val="hy-AM"/>
        </w:rPr>
        <w:t xml:space="preserve"> թիրախները մեծամասամբ կա</w:t>
      </w:r>
      <w:r w:rsidR="002F1AB8" w:rsidRPr="002F1AB8">
        <w:rPr>
          <w:b/>
          <w:lang w:val="hy-AM"/>
        </w:rPr>
        <w:t>՛</w:t>
      </w:r>
      <w:r w:rsidRPr="00C376D3">
        <w:rPr>
          <w:b/>
          <w:lang w:val="hy-AM"/>
        </w:rPr>
        <w:t>մ ձախողվել են, կա</w:t>
      </w:r>
      <w:r w:rsidR="002F1AB8" w:rsidRPr="002F1AB8">
        <w:rPr>
          <w:b/>
          <w:lang w:val="hy-AM"/>
        </w:rPr>
        <w:t>՛</w:t>
      </w:r>
      <w:r w:rsidRPr="00C376D3">
        <w:rPr>
          <w:b/>
          <w:lang w:val="hy-AM"/>
        </w:rPr>
        <w:t xml:space="preserve">մ </w:t>
      </w:r>
      <w:r w:rsidR="00345455">
        <w:rPr>
          <w:b/>
          <w:lang w:val="hy-AM"/>
        </w:rPr>
        <w:t xml:space="preserve">դրանց շուրջ </w:t>
      </w:r>
      <w:r w:rsidRPr="00C376D3">
        <w:rPr>
          <w:b/>
          <w:lang w:val="hy-AM"/>
        </w:rPr>
        <w:t xml:space="preserve">չի հաջողվել գրանցել նշանակալի արդյունքներ: </w:t>
      </w:r>
    </w:p>
    <w:p w14:paraId="21FBD95A" w14:textId="79029A7D" w:rsidR="007A6D6D" w:rsidRDefault="000B282A" w:rsidP="007A6D6D">
      <w:pPr>
        <w:spacing w:before="240"/>
        <w:rPr>
          <w:lang w:val="hy-AM"/>
        </w:rPr>
      </w:pPr>
      <w:r>
        <w:rPr>
          <w:lang w:val="hy-AM"/>
        </w:rPr>
        <w:t>ՀՀ կառավարությունը ձախողել է ներառական, կայուն և երկարաժամկետ տնտեսական աճի քաղաքականությունը</w:t>
      </w:r>
      <w:r w:rsidR="009073F3">
        <w:rPr>
          <w:lang w:val="hy-AM"/>
        </w:rPr>
        <w:t>, ինչը հետևանք է</w:t>
      </w:r>
      <w:r>
        <w:rPr>
          <w:lang w:val="hy-AM"/>
        </w:rPr>
        <w:t xml:space="preserve"> տնտեսության կառուցվածքային </w:t>
      </w:r>
      <w:r w:rsidR="009073F3">
        <w:rPr>
          <w:lang w:val="hy-AM"/>
        </w:rPr>
        <w:t>բարեփոխումների տապալման</w:t>
      </w:r>
      <w:r w:rsidR="009713A5">
        <w:rPr>
          <w:lang w:val="hy-AM"/>
        </w:rPr>
        <w:t>,</w:t>
      </w:r>
      <w:r w:rsidR="009073F3">
        <w:rPr>
          <w:lang w:val="hy-AM"/>
        </w:rPr>
        <w:t xml:space="preserve"> մասնավորապես`</w:t>
      </w:r>
      <w:r>
        <w:rPr>
          <w:lang w:val="hy-AM"/>
        </w:rPr>
        <w:t xml:space="preserve"> ներդրումների աճի, արտահանելի հատվածի խթանման, </w:t>
      </w:r>
      <w:r w:rsidR="009073F3">
        <w:rPr>
          <w:lang w:val="hy-AM"/>
        </w:rPr>
        <w:t xml:space="preserve">բարձր տեխնոլոգիաները տնտեսության լոկոմոտիվ դարձնելու, մշակող արդյունաբերության զարգացման, գյուղատնտեսության արդյունավետության բարձրացման և տնտեսական այլ քաղաքականությունների մասով: </w:t>
      </w:r>
    </w:p>
    <w:p w14:paraId="55CE253D" w14:textId="7C4D5E44" w:rsidR="009073F3" w:rsidRDefault="009073F3" w:rsidP="007A6D6D">
      <w:pPr>
        <w:spacing w:before="240"/>
        <w:rPr>
          <w:lang w:val="hy-AM"/>
        </w:rPr>
      </w:pPr>
      <w:r>
        <w:rPr>
          <w:lang w:val="hy-AM"/>
        </w:rPr>
        <w:t xml:space="preserve">ՀՀ կառավարության որդեգրած քաղաքականությունը մարդկային կապիտալի զարգացման և սոցիալական պաշտպանության ապահովման բնագավառում չի տվել սպասված «հեղափոխական» արդյունքներն ինչպես աղքատության հաղթահարման և գործազրկության կրճատման, այնպես էլ բնակչության եկամուտների աճի և կենսամակարդակի բարձրացման խոստումների մասով: Ավելին, նշված </w:t>
      </w:r>
      <w:r w:rsidR="00D74958">
        <w:rPr>
          <w:lang w:val="hy-AM"/>
        </w:rPr>
        <w:t xml:space="preserve">ուղղությունները </w:t>
      </w:r>
      <w:r w:rsidRPr="00186240">
        <w:rPr>
          <w:lang w:val="hy-AM"/>
        </w:rPr>
        <w:t>2020</w:t>
      </w:r>
      <w:r w:rsidR="00D74958">
        <w:rPr>
          <w:lang w:val="hy-AM"/>
        </w:rPr>
        <w:t>-</w:t>
      </w:r>
      <w:r>
        <w:rPr>
          <w:lang w:val="hy-AM"/>
        </w:rPr>
        <w:t xml:space="preserve">ին եղել են </w:t>
      </w:r>
      <w:r w:rsidR="00220073">
        <w:rPr>
          <w:lang w:val="hy-AM"/>
        </w:rPr>
        <w:t>կ</w:t>
      </w:r>
      <w:r>
        <w:rPr>
          <w:lang w:val="hy-AM"/>
        </w:rPr>
        <w:t>տ</w:t>
      </w:r>
      <w:r w:rsidR="00220073">
        <w:rPr>
          <w:lang w:val="hy-AM"/>
        </w:rPr>
        <w:t>ր</w:t>
      </w:r>
      <w:r>
        <w:rPr>
          <w:lang w:val="hy-AM"/>
        </w:rPr>
        <w:t>ուկ անկումային, իսկ հետճգնաժամային շրջանում</w:t>
      </w:r>
      <w:r w:rsidR="00ED73A6">
        <w:rPr>
          <w:lang w:val="hy-AM"/>
        </w:rPr>
        <w:t>, ինչպես ցույց են տալիս սույն հետազոտության արդյունքները,</w:t>
      </w:r>
      <w:r>
        <w:rPr>
          <w:lang w:val="hy-AM"/>
        </w:rPr>
        <w:t xml:space="preserve"> </w:t>
      </w:r>
      <w:r w:rsidR="00BF0590">
        <w:rPr>
          <w:lang w:val="hy-AM"/>
        </w:rPr>
        <w:t>դժվար է ակնկալել դրանց մասով բարելավման էական միտումներ</w:t>
      </w:r>
      <w:r>
        <w:rPr>
          <w:lang w:val="hy-AM"/>
        </w:rPr>
        <w:t>:</w:t>
      </w:r>
    </w:p>
    <w:p w14:paraId="6077834E" w14:textId="114C51B2" w:rsidR="009073F3" w:rsidRDefault="00C376D3" w:rsidP="007A6D6D">
      <w:pPr>
        <w:spacing w:before="240"/>
        <w:rPr>
          <w:lang w:val="hy-AM"/>
        </w:rPr>
      </w:pPr>
      <w:r>
        <w:rPr>
          <w:lang w:val="hy-AM"/>
        </w:rPr>
        <w:t xml:space="preserve">Հանրային ֆինանսների կառավարման բնագավառում ևս ՀՀ կառավարությունը </w:t>
      </w:r>
      <w:r w:rsidR="001F406D">
        <w:rPr>
          <w:lang w:val="hy-AM"/>
        </w:rPr>
        <w:t>չի վարել արդյունավետ քաղաքականություն ինչպես նախաճգնաժամային, այնպես էլ ճգնաժամային և հետճգնաժամային ժամանակահատված</w:t>
      </w:r>
      <w:r w:rsidR="009713A5">
        <w:rPr>
          <w:lang w:val="hy-AM"/>
        </w:rPr>
        <w:t>ներ</w:t>
      </w:r>
      <w:r w:rsidR="001F406D">
        <w:rPr>
          <w:lang w:val="hy-AM"/>
        </w:rPr>
        <w:t xml:space="preserve">ում: </w:t>
      </w:r>
      <w:r w:rsidR="00EF2798">
        <w:rPr>
          <w:lang w:val="hy-AM"/>
        </w:rPr>
        <w:t>Մտահոգիչ է ՀՀ կառավարության ցածր կատարողական</w:t>
      </w:r>
      <w:r w:rsidR="00197C77">
        <w:rPr>
          <w:lang w:val="hy-AM"/>
        </w:rPr>
        <w:t>ը</w:t>
      </w:r>
      <w:r w:rsidR="00EF2798">
        <w:rPr>
          <w:lang w:val="hy-AM"/>
        </w:rPr>
        <w:t xml:space="preserve"> հատկապես պետական ծախսերի կազմակերպման և կառավարման մասով. երկարաժամկետ տնտեսական աճին </w:t>
      </w:r>
      <w:r w:rsidR="009D213F">
        <w:rPr>
          <w:lang w:val="hy-AM"/>
        </w:rPr>
        <w:t xml:space="preserve">ուղղվող </w:t>
      </w:r>
      <w:r w:rsidR="00EF2798">
        <w:rPr>
          <w:lang w:val="hy-AM"/>
        </w:rPr>
        <w:t xml:space="preserve">պետական ծախսերի էական թերակատարումները հանգեցրել </w:t>
      </w:r>
      <w:r w:rsidR="00220073">
        <w:rPr>
          <w:lang w:val="hy-AM"/>
        </w:rPr>
        <w:t>և շարունակում են նպաստել</w:t>
      </w:r>
      <w:r w:rsidR="00EF2798">
        <w:rPr>
          <w:lang w:val="hy-AM"/>
        </w:rPr>
        <w:t xml:space="preserve"> տնտեսության ներուժի կորստի</w:t>
      </w:r>
      <w:r w:rsidR="005D3445">
        <w:rPr>
          <w:lang w:val="hy-AM"/>
        </w:rPr>
        <w:t>ն</w:t>
      </w:r>
      <w:r w:rsidR="00EF2798">
        <w:rPr>
          <w:lang w:val="hy-AM"/>
        </w:rPr>
        <w:t xml:space="preserve">: </w:t>
      </w:r>
      <w:r w:rsidR="009D3516">
        <w:rPr>
          <w:lang w:val="hy-AM"/>
        </w:rPr>
        <w:t xml:space="preserve">Մյուս կողմից, հարկաբյուջետային քաղաքականության սխալ կազմակերպման և իրականացման արդյունքում ՀՀ կառավարությունը վտանգել է ինչպես հարկաբյուջետային, այնպես էլ </w:t>
      </w:r>
      <w:r w:rsidR="009D3516">
        <w:rPr>
          <w:lang w:val="hy-AM"/>
        </w:rPr>
        <w:lastRenderedPageBreak/>
        <w:t>կառավարության պարտքի կայունությունը:</w:t>
      </w:r>
      <w:r w:rsidR="00510609">
        <w:rPr>
          <w:lang w:val="hy-AM"/>
        </w:rPr>
        <w:t xml:space="preserve"> ՀՀ կառավարության պարտքի կշիռը ՀՆԱ-ում </w:t>
      </w:r>
      <w:r w:rsidR="00510609" w:rsidRPr="00186240">
        <w:rPr>
          <w:lang w:val="hy-AM"/>
        </w:rPr>
        <w:t>2020</w:t>
      </w:r>
      <w:r w:rsidR="00510609">
        <w:rPr>
          <w:lang w:val="hy-AM"/>
        </w:rPr>
        <w:t xml:space="preserve">թ. վերջին գերազանցել է հարկաբյուջետային կանոններով սահմանված </w:t>
      </w:r>
      <w:r w:rsidR="008633DA" w:rsidRPr="008D325C">
        <w:rPr>
          <w:lang w:val="hy-AM"/>
        </w:rPr>
        <w:t xml:space="preserve"> </w:t>
      </w:r>
      <w:r w:rsidR="00510609" w:rsidRPr="00186240">
        <w:rPr>
          <w:lang w:val="hy-AM"/>
        </w:rPr>
        <w:t>60%-</w:t>
      </w:r>
      <w:r w:rsidR="00510609">
        <w:rPr>
          <w:lang w:val="hy-AM"/>
        </w:rPr>
        <w:t xml:space="preserve">ի շեմը և կազմել </w:t>
      </w:r>
      <w:r w:rsidR="00510609" w:rsidRPr="00186240">
        <w:rPr>
          <w:lang w:val="hy-AM"/>
        </w:rPr>
        <w:t>63.5%</w:t>
      </w:r>
      <w:r w:rsidR="00510609">
        <w:rPr>
          <w:lang w:val="hy-AM"/>
        </w:rPr>
        <w:t>։</w:t>
      </w:r>
      <w:r w:rsidR="009D3516">
        <w:rPr>
          <w:lang w:val="hy-AM"/>
        </w:rPr>
        <w:t xml:space="preserve"> Արդյունքում ՀՀ տնտեսությունում կուտակվել են մակրոտնտեսական կայունությունը խաթարող ռիսկեր, ինչն առաջացրել է բավական վտանգավոր իրավիճակ, և առաջիկա տարիներին ՀՀ կառավարությունից պահանջ</w:t>
      </w:r>
      <w:r w:rsidR="00220073">
        <w:rPr>
          <w:lang w:val="hy-AM"/>
        </w:rPr>
        <w:t>վ</w:t>
      </w:r>
      <w:r w:rsidR="009D3516">
        <w:rPr>
          <w:lang w:val="hy-AM"/>
        </w:rPr>
        <w:t>ելու է զգալի ջանքերի ներդրում ռիսկերը չեզոքացնելու և տնտեսության կայունությունն ապահովելու համար:</w:t>
      </w:r>
    </w:p>
    <w:p w14:paraId="5261D1E1" w14:textId="4EF1C831" w:rsidR="00EC05D1" w:rsidRDefault="00220073" w:rsidP="007A6D6D">
      <w:pPr>
        <w:spacing w:before="240"/>
        <w:rPr>
          <w:lang w:val="hy-AM"/>
        </w:rPr>
      </w:pPr>
      <w:r w:rsidRPr="00220073">
        <w:rPr>
          <w:b/>
          <w:lang w:val="hy-AM"/>
        </w:rPr>
        <w:t xml:space="preserve">ՀՀ կառավարությունը </w:t>
      </w:r>
      <w:r w:rsidRPr="00186240">
        <w:rPr>
          <w:b/>
          <w:lang w:val="hy-AM"/>
        </w:rPr>
        <w:t>2021</w:t>
      </w:r>
      <w:r w:rsidR="002542E3">
        <w:rPr>
          <w:b/>
          <w:lang w:val="hy-AM"/>
        </w:rPr>
        <w:t xml:space="preserve">թ. </w:t>
      </w:r>
      <w:r w:rsidRPr="00220073">
        <w:rPr>
          <w:b/>
          <w:lang w:val="hy-AM"/>
        </w:rPr>
        <w:t xml:space="preserve">ծրագրով սահմանել </w:t>
      </w:r>
      <w:r w:rsidR="00761664">
        <w:rPr>
          <w:b/>
          <w:lang w:val="hy-AM"/>
        </w:rPr>
        <w:t xml:space="preserve">է </w:t>
      </w:r>
      <w:r w:rsidRPr="00220073">
        <w:rPr>
          <w:b/>
          <w:lang w:val="hy-AM"/>
        </w:rPr>
        <w:t>տնտեսական քաղաքականության թիրախներ, որոնք մեծամասամբ չափազանց հավակնոտ են և անիրատեսական:</w:t>
      </w:r>
      <w:r w:rsidR="00A078F3" w:rsidRPr="008F5026">
        <w:rPr>
          <w:lang w:val="hy-AM"/>
        </w:rPr>
        <w:t xml:space="preserve"> </w:t>
      </w:r>
      <w:r w:rsidR="00A078F3">
        <w:rPr>
          <w:lang w:val="hy-AM"/>
        </w:rPr>
        <w:t>Մտահոգիչ է, որ ՀՀ կառավարությունը չի ներկայացնում նախկինում տապալած տնտեսական քաղաքականությունների մասով առկա խնդիրների վերլուծություն</w:t>
      </w:r>
      <w:r w:rsidR="003D18C6">
        <w:rPr>
          <w:lang w:val="hy-AM"/>
        </w:rPr>
        <w:t>,</w:t>
      </w:r>
      <w:r w:rsidR="00A078F3">
        <w:rPr>
          <w:lang w:val="hy-AM"/>
        </w:rPr>
        <w:t xml:space="preserve"> </w:t>
      </w:r>
      <w:r w:rsidR="00932D5F">
        <w:rPr>
          <w:lang w:val="hy-AM"/>
        </w:rPr>
        <w:t xml:space="preserve">չեն իրականացվում </w:t>
      </w:r>
      <w:r w:rsidR="00A078F3">
        <w:rPr>
          <w:lang w:val="hy-AM"/>
        </w:rPr>
        <w:t xml:space="preserve">համապատասխան ախտորոշումներ, իսկ ծրագրում ներկայացված թիրախներին հասնելու միջոցառումները բացակայում են կամ շատ ընդհանրական </w:t>
      </w:r>
      <w:r w:rsidR="00F93233">
        <w:rPr>
          <w:lang w:val="hy-AM"/>
        </w:rPr>
        <w:t>են` անորոշ հիմնավորումներով</w:t>
      </w:r>
      <w:r w:rsidR="00A078F3">
        <w:rPr>
          <w:lang w:val="hy-AM"/>
        </w:rPr>
        <w:t xml:space="preserve">: </w:t>
      </w:r>
      <w:r w:rsidR="00362E8D">
        <w:rPr>
          <w:lang w:val="hy-AM"/>
        </w:rPr>
        <w:t>Վերո</w:t>
      </w:r>
      <w:r w:rsidR="004E0FB7">
        <w:rPr>
          <w:lang w:val="hy-AM"/>
        </w:rPr>
        <w:t>շարադ</w:t>
      </w:r>
      <w:r w:rsidR="00362E8D">
        <w:rPr>
          <w:lang w:val="hy-AM"/>
        </w:rPr>
        <w:t xml:space="preserve">րյալը հիմքեր է ստեղծում ենթադրելու, որ առաջիկայում չի </w:t>
      </w:r>
      <w:r w:rsidR="004E0FB7">
        <w:rPr>
          <w:lang w:val="hy-AM"/>
        </w:rPr>
        <w:t>հաջող</w:t>
      </w:r>
      <w:r w:rsidR="00362E8D">
        <w:rPr>
          <w:lang w:val="hy-AM"/>
        </w:rPr>
        <w:t xml:space="preserve">վելու ապահովել </w:t>
      </w:r>
      <w:r w:rsidR="004052EE">
        <w:rPr>
          <w:lang w:val="hy-AM"/>
        </w:rPr>
        <w:t xml:space="preserve">կառավարության </w:t>
      </w:r>
      <w:r w:rsidR="00362E8D">
        <w:rPr>
          <w:lang w:val="hy-AM"/>
        </w:rPr>
        <w:t>ծրագրի բարձր կատարողական:</w:t>
      </w:r>
    </w:p>
    <w:p w14:paraId="02034D8E" w14:textId="5D5BDE49" w:rsidR="00AB6DAC" w:rsidRDefault="00DD6A37">
      <w:pPr>
        <w:spacing w:before="240"/>
        <w:rPr>
          <w:lang w:val="hy-AM"/>
        </w:rPr>
      </w:pPr>
      <w:r w:rsidRPr="00990159">
        <w:rPr>
          <w:lang w:val="hy-AM"/>
        </w:rPr>
        <w:t>Հետազոտության արդյունքներ</w:t>
      </w:r>
      <w:r>
        <w:rPr>
          <w:lang w:val="hy-AM"/>
        </w:rPr>
        <w:t>ի ամփոփմամբ</w:t>
      </w:r>
      <w:r w:rsidRPr="00990159">
        <w:rPr>
          <w:lang w:val="hy-AM"/>
        </w:rPr>
        <w:t xml:space="preserve"> </w:t>
      </w:r>
      <w:r>
        <w:rPr>
          <w:lang w:val="hy-AM"/>
        </w:rPr>
        <w:t>փաստենք, որ ՀՀ ներկայիս կառավարության տնտեսական քաղաքականության թիրախների ձախողման</w:t>
      </w:r>
      <w:r w:rsidR="004E0FB7">
        <w:rPr>
          <w:lang w:val="hy-AM"/>
        </w:rPr>
        <w:t xml:space="preserve"> (</w:t>
      </w:r>
      <w:r>
        <w:rPr>
          <w:lang w:val="hy-AM"/>
        </w:rPr>
        <w:t>տապալման</w:t>
      </w:r>
      <w:r w:rsidR="004E0FB7">
        <w:rPr>
          <w:lang w:val="hy-AM"/>
        </w:rPr>
        <w:t>)</w:t>
      </w:r>
      <w:r>
        <w:rPr>
          <w:lang w:val="hy-AM"/>
        </w:rPr>
        <w:t xml:space="preserve"> հիմնական պատճառը </w:t>
      </w:r>
      <w:r w:rsidRPr="00186240">
        <w:rPr>
          <w:lang w:val="hy-AM"/>
        </w:rPr>
        <w:t>2018-2020</w:t>
      </w:r>
      <w:r>
        <w:rPr>
          <w:lang w:val="hy-AM"/>
        </w:rPr>
        <w:t>թթ. ընթացքում գործադիր իշխանությունների կողմից տնտեսական գործընթացների կառավարման արդյունավետության խնդիրն է։ Տնտեսության անարդյունավետ կառավարման շարունակական ազդեցությունը ՀՀ տնտեսության և բնակչության կյանքի որակի վրա թողել է զգալի բացասական հետևանքներ՝ տնտեսության կառուցվածքային բարելավումների օրակարգի տապալումից մինչև բնակչության կենսամակարդակի</w:t>
      </w:r>
      <w:r w:rsidR="003D18C6">
        <w:rPr>
          <w:lang w:val="hy-AM"/>
        </w:rPr>
        <w:t>,</w:t>
      </w:r>
      <w:r>
        <w:rPr>
          <w:lang w:val="hy-AM"/>
        </w:rPr>
        <w:t xml:space="preserve"> մասնավորապես</w:t>
      </w:r>
      <w:r w:rsidR="003D18C6">
        <w:rPr>
          <w:lang w:val="hy-AM"/>
        </w:rPr>
        <w:t>՝</w:t>
      </w:r>
      <w:r>
        <w:rPr>
          <w:lang w:val="hy-AM"/>
        </w:rPr>
        <w:t xml:space="preserve"> իրական եկամուտների աճի ապահովման խոստման ձախողում, տնտեսության խթանման պետական քաղաքականության ցածր կատարողականից մինչև երկրի մակրոտնտեսական կայունությանը սպառնացող ռիսկերի կուտակում։ Ցավոք, կառավարման անարդյունավետության խնդիրը շարունակում է բարձր դիրքերում պահպանվել նաև հետճգնաժամային ժամանակահատվածում, ինչը լրացուցիչ վտանգներ է ստեղծում </w:t>
      </w:r>
      <w:r w:rsidRPr="00186240">
        <w:rPr>
          <w:lang w:val="hy-AM"/>
        </w:rPr>
        <w:t>2020</w:t>
      </w:r>
      <w:r>
        <w:rPr>
          <w:lang w:val="hy-AM"/>
        </w:rPr>
        <w:t>թ. խոր տնտեսական ճգնաժամի առաջացրած ծանր սոցիալ-տնտեսական հետևանքները հաղթահարելու, ՀՀ տնտեսությունը վերականգնելու, տնտեսության ներուժն ընդլայնելու առաջիկա տարիների հրամայականն իրագործելու հարց</w:t>
      </w:r>
      <w:r w:rsidR="003D18C6">
        <w:rPr>
          <w:lang w:val="hy-AM"/>
        </w:rPr>
        <w:t>եր</w:t>
      </w:r>
      <w:r>
        <w:rPr>
          <w:lang w:val="hy-AM"/>
        </w:rPr>
        <w:t>ում։</w:t>
      </w:r>
    </w:p>
    <w:p w14:paraId="3103B7F1" w14:textId="77777777" w:rsidR="0029130B" w:rsidRDefault="0029130B">
      <w:pPr>
        <w:spacing w:before="240"/>
        <w:rPr>
          <w:lang w:val="hy-AM"/>
        </w:rPr>
      </w:pPr>
    </w:p>
    <w:p w14:paraId="76B476A8" w14:textId="77777777" w:rsidR="0029130B" w:rsidRDefault="0029130B">
      <w:pPr>
        <w:spacing w:before="240"/>
        <w:rPr>
          <w:lang w:val="hy-AM"/>
        </w:rPr>
      </w:pPr>
    </w:p>
    <w:p w14:paraId="0A912B92" w14:textId="77777777" w:rsidR="0029130B" w:rsidRDefault="0029130B" w:rsidP="0029130B">
      <w:pPr>
        <w:rPr>
          <w:lang w:val="hy-AM"/>
        </w:rPr>
      </w:pPr>
    </w:p>
    <w:p w14:paraId="7E4126A0" w14:textId="77777777" w:rsidR="0029130B" w:rsidRDefault="0029130B" w:rsidP="0029130B">
      <w:pPr>
        <w:pStyle w:val="ListParagraph"/>
        <w:shd w:val="clear" w:color="auto" w:fill="FFFFFF"/>
        <w:ind w:left="567"/>
        <w:contextualSpacing w:val="0"/>
        <w:rPr>
          <w:rFonts w:cs="Arial"/>
          <w:lang w:val="hy-AM"/>
        </w:rPr>
      </w:pPr>
    </w:p>
    <w:p w14:paraId="2473B6DF" w14:textId="77777777" w:rsidR="0029130B" w:rsidRDefault="0029130B" w:rsidP="0029130B">
      <w:pPr>
        <w:rPr>
          <w:rFonts w:ascii="Sylfaen" w:hAnsi="Sylfaen"/>
          <w:lang w:val="hy-AM"/>
        </w:rPr>
      </w:pPr>
    </w:p>
    <w:p w14:paraId="063B4E79" w14:textId="77777777" w:rsidR="0029130B" w:rsidRDefault="0029130B" w:rsidP="0029130B">
      <w:pPr>
        <w:rPr>
          <w:rFonts w:ascii="Sylfaen" w:hAnsi="Sylfaen"/>
          <w:lang w:val="hy-AM"/>
        </w:rPr>
      </w:pPr>
    </w:p>
    <w:p w14:paraId="2C3E3A0C" w14:textId="77777777" w:rsidR="0029130B" w:rsidRDefault="0029130B" w:rsidP="0029130B">
      <w:pPr>
        <w:rPr>
          <w:rFonts w:ascii="Sylfaen" w:hAnsi="Sylfaen"/>
          <w:lang w:val="hy-AM"/>
        </w:rPr>
      </w:pPr>
    </w:p>
    <w:p w14:paraId="6A4599C6" w14:textId="77777777" w:rsidR="0029130B" w:rsidRDefault="0029130B" w:rsidP="0029130B">
      <w:pPr>
        <w:rPr>
          <w:rFonts w:ascii="Sylfaen" w:hAnsi="Sylfaen"/>
          <w:lang w:val="hy-AM"/>
        </w:rPr>
      </w:pPr>
    </w:p>
    <w:p w14:paraId="5C737A46" w14:textId="77777777" w:rsidR="0029130B" w:rsidRDefault="0029130B" w:rsidP="0029130B">
      <w:pPr>
        <w:rPr>
          <w:rFonts w:ascii="Sylfaen" w:hAnsi="Sylfaen"/>
          <w:lang w:val="hy-AM"/>
        </w:rPr>
      </w:pPr>
    </w:p>
    <w:p w14:paraId="5526A585" w14:textId="77777777" w:rsidR="0029130B" w:rsidRDefault="0029130B" w:rsidP="0029130B">
      <w:pPr>
        <w:rPr>
          <w:rFonts w:ascii="Sylfaen" w:hAnsi="Sylfaen"/>
          <w:lang w:val="hy-AM"/>
        </w:rPr>
      </w:pPr>
    </w:p>
    <w:p w14:paraId="46A8D434" w14:textId="77777777" w:rsidR="0029130B" w:rsidRDefault="0029130B" w:rsidP="0029130B">
      <w:pPr>
        <w:rPr>
          <w:lang w:val="hy-AM"/>
        </w:rPr>
      </w:pPr>
    </w:p>
    <w:p w14:paraId="55E1B684" w14:textId="77777777" w:rsidR="0029130B" w:rsidRDefault="0029130B" w:rsidP="0029130B">
      <w:pPr>
        <w:rPr>
          <w:lang w:val="hy-AM"/>
        </w:rPr>
      </w:pPr>
      <w:r>
        <w:rPr>
          <w:noProof/>
        </w:rPr>
        <mc:AlternateContent>
          <mc:Choice Requires="wps">
            <w:drawing>
              <wp:anchor distT="0" distB="0" distL="114300" distR="114300" simplePos="0" relativeHeight="251671552" behindDoc="0" locked="0" layoutInCell="1" allowOverlap="1" wp14:anchorId="0C058EEE" wp14:editId="4C490399">
                <wp:simplePos x="0" y="0"/>
                <wp:positionH relativeFrom="column">
                  <wp:posOffset>366395</wp:posOffset>
                </wp:positionH>
                <wp:positionV relativeFrom="paragraph">
                  <wp:posOffset>194614</wp:posOffset>
                </wp:positionV>
                <wp:extent cx="5322570" cy="0"/>
                <wp:effectExtent l="0" t="0" r="30480" b="19050"/>
                <wp:wrapNone/>
                <wp:docPr id="41" name="Straight Connector 41"/>
                <wp:cNvGraphicFramePr/>
                <a:graphic xmlns:a="http://schemas.openxmlformats.org/drawingml/2006/main">
                  <a:graphicData uri="http://schemas.microsoft.com/office/word/2010/wordprocessingShape">
                    <wps:wsp>
                      <wps:cNvCnPr/>
                      <wps:spPr>
                        <a:xfrm>
                          <a:off x="0" y="0"/>
                          <a:ext cx="5322570" cy="0"/>
                        </a:xfrm>
                        <a:prstGeom prst="line">
                          <a:avLst/>
                        </a:prstGeom>
                        <a:ln>
                          <a:solidFill>
                            <a:srgbClr val="00B3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C5022" id="Straight Connector 4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85pt,15.3pt" to="44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" strokecolor="#00b3c4" strokeweight=".5pt">
                <v:stroke joinstyle="miter"/>
              </v:line>
            </w:pict>
          </mc:Fallback>
        </mc:AlternateContent>
      </w:r>
    </w:p>
    <w:p w14:paraId="4F23C7CF" w14:textId="77777777" w:rsidR="0029130B" w:rsidRPr="000C0466" w:rsidRDefault="0029130B" w:rsidP="0029130B">
      <w:pPr>
        <w:shd w:val="clear" w:color="auto" w:fill="FFFFFF"/>
        <w:spacing w:line="330" w:lineRule="atLeast"/>
        <w:jc w:val="center"/>
        <w:rPr>
          <w:rFonts w:eastAsia="Times New Roman" w:cs="Calibri"/>
          <w:b/>
          <w:i/>
          <w:color w:val="333333"/>
          <w:sz w:val="20"/>
          <w:szCs w:val="20"/>
          <w:lang w:val="hy-AM"/>
        </w:rPr>
      </w:pPr>
      <w:r w:rsidRPr="000C0466">
        <w:rPr>
          <w:rFonts w:eastAsia="Times New Roman" w:cs="Calibri"/>
          <w:b/>
          <w:bCs/>
          <w:i/>
          <w:color w:val="00B3C4"/>
          <w:sz w:val="20"/>
          <w:szCs w:val="20"/>
          <w:lang w:val="hy-AM"/>
        </w:rPr>
        <w:t>«ԼՈՒՅՍ հիմնադրամ»</w:t>
      </w:r>
      <w:r w:rsidRPr="000C0466">
        <w:rPr>
          <w:rFonts w:eastAsia="Times New Roman" w:cs="Calibri"/>
          <w:b/>
          <w:bCs/>
          <w:i/>
          <w:color w:val="333333"/>
          <w:sz w:val="20"/>
          <w:szCs w:val="20"/>
          <w:lang w:val="hy-AM"/>
        </w:rPr>
        <w:t> </w:t>
      </w:r>
      <w:r w:rsidRPr="000C0466">
        <w:rPr>
          <w:rFonts w:eastAsia="Times New Roman" w:cs="Calibri"/>
          <w:b/>
          <w:i/>
          <w:color w:val="333333"/>
          <w:sz w:val="20"/>
          <w:szCs w:val="20"/>
          <w:lang w:val="hy-AM"/>
        </w:rPr>
        <w:t>գրառմամբ հրապարակված նյութը պաշտպանված է  ՀՀ </w:t>
      </w:r>
      <w:r w:rsidRPr="000C0466">
        <w:rPr>
          <w:rFonts w:eastAsia="Times New Roman" w:cs="GHEA Grapalat"/>
          <w:b/>
          <w:i/>
          <w:color w:val="333333"/>
          <w:sz w:val="20"/>
          <w:szCs w:val="20"/>
          <w:lang w:val="hy-AM"/>
        </w:rPr>
        <w:t>օրենսդրությամբ</w:t>
      </w:r>
      <w:r w:rsidRPr="000C0466">
        <w:rPr>
          <w:rFonts w:eastAsia="Times New Roman" w:cs="Calibri"/>
          <w:b/>
          <w:i/>
          <w:color w:val="333333"/>
          <w:sz w:val="20"/>
          <w:szCs w:val="20"/>
          <w:lang w:val="hy-AM"/>
        </w:rPr>
        <w:t> </w:t>
      </w:r>
      <w:r w:rsidRPr="000C0466">
        <w:rPr>
          <w:rFonts w:eastAsia="Times New Roman" w:cs="GHEA Grapalat"/>
          <w:b/>
          <w:i/>
          <w:color w:val="333333"/>
          <w:sz w:val="20"/>
          <w:szCs w:val="20"/>
          <w:lang w:val="hy-AM"/>
        </w:rPr>
        <w:t>և</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միջազգային</w:t>
      </w:r>
      <w:r w:rsidRPr="000C0466">
        <w:rPr>
          <w:rFonts w:eastAsia="Times New Roman" w:cs="Calibri"/>
          <w:b/>
          <w:i/>
          <w:color w:val="333333"/>
          <w:sz w:val="20"/>
          <w:szCs w:val="20"/>
          <w:lang w:val="hy-AM"/>
        </w:rPr>
        <w:t> </w:t>
      </w:r>
      <w:r w:rsidRPr="000C0466">
        <w:rPr>
          <w:rFonts w:eastAsia="Times New Roman" w:cs="GHEA Grapalat"/>
          <w:b/>
          <w:i/>
          <w:color w:val="333333"/>
          <w:sz w:val="20"/>
          <w:szCs w:val="20"/>
          <w:lang w:val="hy-AM"/>
        </w:rPr>
        <w:t>համաձայնագրերով։</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Հրապարակված</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նյութի</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բոլոր</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իրավունքների</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բացառիկ</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իրավատերը</w:t>
      </w:r>
      <w:r w:rsidRPr="000C0466">
        <w:rPr>
          <w:rFonts w:eastAsia="Times New Roman" w:cs="Calibri"/>
          <w:b/>
          <w:i/>
          <w:color w:val="333333"/>
          <w:sz w:val="20"/>
          <w:szCs w:val="20"/>
          <w:lang w:val="hy-AM"/>
        </w:rPr>
        <w:t> </w:t>
      </w:r>
      <w:r w:rsidRPr="000C0466">
        <w:rPr>
          <w:rFonts w:eastAsia="Times New Roman" w:cs="Calibri"/>
          <w:b/>
          <w:bCs/>
          <w:i/>
          <w:color w:val="00B3C4"/>
          <w:sz w:val="20"/>
          <w:szCs w:val="20"/>
          <w:lang w:val="hy-AM"/>
        </w:rPr>
        <w:t>«ԼՈՒՅՍ» </w:t>
      </w:r>
      <w:r w:rsidRPr="000C0466">
        <w:rPr>
          <w:rFonts w:eastAsia="Times New Roman" w:cs="Calibri"/>
          <w:b/>
          <w:i/>
          <w:color w:val="333333"/>
          <w:sz w:val="20"/>
          <w:szCs w:val="20"/>
          <w:lang w:val="hy-AM"/>
        </w:rPr>
        <w:t>հիմնադրամն է։</w:t>
      </w:r>
    </w:p>
    <w:p w14:paraId="2AB53295" w14:textId="77777777" w:rsidR="0029130B" w:rsidRPr="000C0466" w:rsidRDefault="0029130B" w:rsidP="0029130B">
      <w:pPr>
        <w:shd w:val="clear" w:color="auto" w:fill="FFFFFF"/>
        <w:spacing w:line="330" w:lineRule="atLeast"/>
        <w:jc w:val="center"/>
        <w:rPr>
          <w:rFonts w:eastAsia="Times New Roman" w:cs="Calibri"/>
          <w:b/>
          <w:i/>
          <w:color w:val="333333"/>
          <w:sz w:val="20"/>
          <w:szCs w:val="20"/>
          <w:lang w:val="hy-AM"/>
        </w:rPr>
      </w:pPr>
    </w:p>
    <w:p w14:paraId="04624491" w14:textId="77777777" w:rsidR="0029130B" w:rsidRPr="00E01072" w:rsidRDefault="0029130B" w:rsidP="0029130B">
      <w:pPr>
        <w:shd w:val="clear" w:color="auto" w:fill="FFFFFF"/>
        <w:jc w:val="center"/>
        <w:rPr>
          <w:lang w:val="hy-AM"/>
        </w:rPr>
      </w:pPr>
      <w:r w:rsidRPr="000C0466">
        <w:rPr>
          <w:rFonts w:eastAsia="Times New Roman" w:cs="Calibri"/>
          <w:b/>
          <w:i/>
          <w:color w:val="333333"/>
          <w:sz w:val="20"/>
          <w:szCs w:val="20"/>
          <w:lang w:val="hy-AM"/>
        </w:rPr>
        <w:t>Նյութի ամբողջական կամ դրանից </w:t>
      </w:r>
      <w:r w:rsidRPr="000C0466">
        <w:rPr>
          <w:rFonts w:eastAsia="Times New Roman" w:cs="Calibri"/>
          <w:b/>
          <w:i/>
          <w:color w:val="000000"/>
          <w:sz w:val="20"/>
          <w:szCs w:val="20"/>
          <w:shd w:val="clear" w:color="auto" w:fill="FFFFFF"/>
          <w:lang w:val="hy-AM"/>
        </w:rPr>
        <w:t>քաղվածքների</w:t>
      </w:r>
      <w:r w:rsidRPr="000C0466">
        <w:rPr>
          <w:rFonts w:eastAsia="Times New Roman" w:cs="Calibri"/>
          <w:b/>
          <w:i/>
          <w:color w:val="333333"/>
          <w:sz w:val="20"/>
          <w:szCs w:val="20"/>
          <w:lang w:val="hy-AM"/>
        </w:rPr>
        <w:t> </w:t>
      </w:r>
      <w:r w:rsidRPr="000C0466">
        <w:rPr>
          <w:rFonts w:eastAsia="Times New Roman" w:cs="GHEA Grapalat"/>
          <w:b/>
          <w:i/>
          <w:color w:val="333333"/>
          <w:sz w:val="20"/>
          <w:szCs w:val="20"/>
          <w:lang w:val="hy-AM"/>
        </w:rPr>
        <w:t>վերարտադրումը</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թույլատրվում</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է</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իրականացնել</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միայն</w:t>
      </w:r>
      <w:r w:rsidRPr="000C0466">
        <w:rPr>
          <w:rFonts w:eastAsia="Times New Roman" w:cs="Calibri"/>
          <w:b/>
          <w:i/>
          <w:color w:val="333333"/>
          <w:sz w:val="20"/>
          <w:szCs w:val="20"/>
          <w:lang w:val="hy-AM"/>
        </w:rPr>
        <w:t> </w:t>
      </w:r>
      <w:r w:rsidRPr="000C0466">
        <w:rPr>
          <w:rFonts w:eastAsia="Times New Roman" w:cs="Calibri"/>
          <w:b/>
          <w:bCs/>
          <w:i/>
          <w:color w:val="00B3C4"/>
          <w:sz w:val="20"/>
          <w:szCs w:val="20"/>
          <w:lang w:val="hy-AM"/>
        </w:rPr>
        <w:t>«ԼՈՒՅՍ հիմնադրամ» </w:t>
      </w:r>
      <w:r w:rsidRPr="000C0466">
        <w:rPr>
          <w:rFonts w:eastAsia="Times New Roman" w:cs="Calibri"/>
          <w:b/>
          <w:i/>
          <w:color w:val="333333"/>
          <w:sz w:val="20"/>
          <w:szCs w:val="20"/>
          <w:lang w:val="hy-AM"/>
        </w:rPr>
        <w:t>գրառման և համապատասխան </w:t>
      </w:r>
      <w:r w:rsidRPr="000C0466">
        <w:rPr>
          <w:rFonts w:eastAsia="Times New Roman" w:cs="Calibri"/>
          <w:b/>
          <w:bCs/>
          <w:i/>
          <w:color w:val="00B3C4"/>
          <w:sz w:val="20"/>
          <w:szCs w:val="20"/>
          <w:lang w:val="hy-AM"/>
        </w:rPr>
        <w:t>ակտիվ հղման</w:t>
      </w:r>
      <w:r w:rsidRPr="000C0466">
        <w:rPr>
          <w:rFonts w:eastAsia="Times New Roman" w:cs="Calibri"/>
          <w:b/>
          <w:i/>
          <w:color w:val="00B3C4"/>
          <w:sz w:val="20"/>
          <w:szCs w:val="20"/>
          <w:lang w:val="hy-AM"/>
        </w:rPr>
        <w:t> </w:t>
      </w:r>
      <w:r w:rsidRPr="000C0466">
        <w:rPr>
          <w:rFonts w:eastAsia="Times New Roman" w:cs="GHEA Grapalat"/>
          <w:b/>
          <w:i/>
          <w:color w:val="333333"/>
          <w:sz w:val="20"/>
          <w:szCs w:val="20"/>
          <w:lang w:val="hy-AM"/>
        </w:rPr>
        <w:t>տեղադրման</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պայմանով՝</w:t>
      </w:r>
      <w:r w:rsidRPr="000C0466">
        <w:rPr>
          <w:rFonts w:eastAsia="Times New Roman" w:cs="Calibri"/>
          <w:b/>
          <w:bCs/>
          <w:i/>
          <w:color w:val="333333"/>
          <w:sz w:val="20"/>
          <w:szCs w:val="20"/>
          <w:lang w:val="hy-AM"/>
        </w:rPr>
        <w:t> </w:t>
      </w:r>
      <w:r w:rsidRPr="000C0466">
        <w:rPr>
          <w:rFonts w:eastAsia="Times New Roman" w:cs="Calibri"/>
          <w:b/>
          <w:i/>
          <w:color w:val="333333"/>
          <w:sz w:val="20"/>
          <w:szCs w:val="20"/>
          <w:lang w:val="hy-AM"/>
        </w:rPr>
        <w:t>պահպանելով </w:t>
      </w:r>
      <w:r w:rsidRPr="000C0466">
        <w:rPr>
          <w:rFonts w:eastAsia="Times New Roman" w:cs="GHEA Grapalat"/>
          <w:b/>
          <w:i/>
          <w:color w:val="333333"/>
          <w:sz w:val="20"/>
          <w:szCs w:val="20"/>
          <w:lang w:val="hy-AM"/>
        </w:rPr>
        <w:t>«ԼՈՒՅՍ»</w:t>
      </w:r>
      <w:r w:rsidRPr="000C0466">
        <w:rPr>
          <w:rFonts w:eastAsia="Times New Roman" w:cs="Calibri"/>
          <w:b/>
          <w:i/>
          <w:color w:val="333333"/>
          <w:sz w:val="20"/>
          <w:szCs w:val="20"/>
          <w:lang w:val="hy-AM"/>
        </w:rPr>
        <w:t> </w:t>
      </w:r>
      <w:r w:rsidRPr="000C0466">
        <w:rPr>
          <w:rFonts w:eastAsia="Times New Roman" w:cs="GHEA Grapalat"/>
          <w:b/>
          <w:i/>
          <w:color w:val="333333"/>
          <w:sz w:val="20"/>
          <w:szCs w:val="20"/>
          <w:lang w:val="hy-AM"/>
        </w:rPr>
        <w:t>հիմնադրամին</w:t>
      </w:r>
      <w:r w:rsidRPr="000C0466">
        <w:rPr>
          <w:rFonts w:eastAsia="Times New Roman" w:cs="Calibri"/>
          <w:b/>
          <w:i/>
          <w:color w:val="333333"/>
          <w:sz w:val="20"/>
          <w:szCs w:val="20"/>
          <w:lang w:val="hy-AM"/>
        </w:rPr>
        <w:t xml:space="preserve"> </w:t>
      </w:r>
      <w:r w:rsidRPr="000C0466">
        <w:rPr>
          <w:rFonts w:eastAsia="Times New Roman" w:cs="GHEA Grapalat"/>
          <w:b/>
          <w:i/>
          <w:color w:val="333333"/>
          <w:sz w:val="20"/>
          <w:szCs w:val="20"/>
          <w:lang w:val="hy-AM"/>
        </w:rPr>
        <w:t>պատկանող</w:t>
      </w:r>
      <w:r w:rsidRPr="000C0466">
        <w:rPr>
          <w:rFonts w:eastAsia="Times New Roman" w:cs="Calibri"/>
          <w:b/>
          <w:i/>
          <w:color w:val="333333"/>
          <w:sz w:val="20"/>
          <w:szCs w:val="20"/>
          <w:lang w:val="hy-AM"/>
        </w:rPr>
        <w:t> </w:t>
      </w:r>
      <w:r w:rsidRPr="000C0466">
        <w:rPr>
          <w:rFonts w:eastAsia="Times New Roman" w:cs="GHEA Grapalat"/>
          <w:b/>
          <w:i/>
          <w:color w:val="333333"/>
          <w:sz w:val="20"/>
          <w:szCs w:val="20"/>
          <w:lang w:val="hy-AM"/>
        </w:rPr>
        <w:t>նյութերի</w:t>
      </w:r>
      <w:r w:rsidRPr="000C0466">
        <w:rPr>
          <w:rFonts w:eastAsia="Times New Roman" w:cs="Calibri"/>
          <w:b/>
          <w:i/>
          <w:color w:val="333333"/>
          <w:sz w:val="20"/>
          <w:szCs w:val="20"/>
          <w:lang w:val="hy-AM"/>
        </w:rPr>
        <w:t> </w:t>
      </w:r>
      <w:r w:rsidRPr="000C0466">
        <w:rPr>
          <w:rFonts w:eastAsia="Times New Roman" w:cs="GHEA Grapalat"/>
          <w:b/>
          <w:i/>
          <w:color w:val="333333"/>
          <w:sz w:val="20"/>
          <w:szCs w:val="20"/>
          <w:lang w:val="hy-AM"/>
        </w:rPr>
        <w:t>օգտագործման</w:t>
      </w:r>
      <w:r w:rsidRPr="000C0466">
        <w:rPr>
          <w:rFonts w:eastAsia="Times New Roman" w:cs="Calibri"/>
          <w:b/>
          <w:i/>
          <w:color w:val="333333"/>
          <w:sz w:val="20"/>
          <w:szCs w:val="20"/>
          <w:lang w:val="hy-AM"/>
        </w:rPr>
        <w:t> </w:t>
      </w:r>
      <w:r w:rsidRPr="000C0466">
        <w:rPr>
          <w:rFonts w:eastAsia="Times New Roman" w:cs="GHEA Grapalat"/>
          <w:b/>
          <w:i/>
          <w:color w:val="333333"/>
          <w:sz w:val="20"/>
          <w:szCs w:val="20"/>
          <w:lang w:val="hy-AM"/>
        </w:rPr>
        <w:t>կարգը</w:t>
      </w:r>
      <w:r w:rsidRPr="000C0466">
        <w:rPr>
          <w:rFonts w:eastAsia="Times New Roman" w:cs="Calibri"/>
          <w:b/>
          <w:bCs/>
          <w:i/>
          <w:color w:val="333333"/>
          <w:sz w:val="20"/>
          <w:szCs w:val="20"/>
          <w:lang w:val="hy-AM"/>
        </w:rPr>
        <w:t>։</w:t>
      </w:r>
    </w:p>
    <w:p w14:paraId="48ED1843" w14:textId="77777777" w:rsidR="0029130B" w:rsidRDefault="0029130B" w:rsidP="0029130B">
      <w:pPr>
        <w:ind w:firstLine="720"/>
        <w:rPr>
          <w:szCs w:val="24"/>
          <w:lang w:val="hy-AM"/>
        </w:rPr>
      </w:pPr>
    </w:p>
    <w:p w14:paraId="4AC894E9" w14:textId="77777777" w:rsidR="0029130B" w:rsidRDefault="0029130B" w:rsidP="0029130B">
      <w:pPr>
        <w:ind w:firstLine="720"/>
        <w:rPr>
          <w:szCs w:val="24"/>
          <w:lang w:val="hy-AM"/>
        </w:rPr>
      </w:pPr>
    </w:p>
    <w:p w14:paraId="043910A2" w14:textId="77777777" w:rsidR="0029130B" w:rsidRPr="005D3445" w:rsidRDefault="0029130B">
      <w:pPr>
        <w:spacing w:before="240"/>
        <w:rPr>
          <w:b/>
          <w:lang w:val="hy-AM"/>
        </w:rPr>
      </w:pPr>
    </w:p>
    <w:sectPr w:rsidR="0029130B" w:rsidRPr="005D3445" w:rsidSect="00C06C5E">
      <w:headerReference w:type="default" r:id="rId12"/>
      <w:footerReference w:type="default" r:id="rId13"/>
      <w:headerReference w:type="first" r:id="rId14"/>
      <w:pgSz w:w="11907" w:h="16840"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4D40D" w14:textId="77777777" w:rsidR="00A63C73" w:rsidRDefault="00A63C73" w:rsidP="00A230CE">
      <w:pPr>
        <w:spacing w:after="0" w:line="240" w:lineRule="auto"/>
      </w:pPr>
      <w:r>
        <w:separator/>
      </w:r>
    </w:p>
  </w:endnote>
  <w:endnote w:type="continuationSeparator" w:id="0">
    <w:p w14:paraId="4D8AB196" w14:textId="77777777" w:rsidR="00A63C73" w:rsidRDefault="00A63C73" w:rsidP="00A2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872939"/>
      <w:docPartObj>
        <w:docPartGallery w:val="Page Numbers (Bottom of Page)"/>
        <w:docPartUnique/>
      </w:docPartObj>
    </w:sdtPr>
    <w:sdtEndPr>
      <w:rPr>
        <w:noProof/>
      </w:rPr>
    </w:sdtEndPr>
    <w:sdtContent>
      <w:p w14:paraId="1C8652C9" w14:textId="6C4BEFDB" w:rsidR="00A63C73" w:rsidRDefault="00A63C73" w:rsidP="00295D4F">
        <w:pPr>
          <w:pStyle w:val="Footer"/>
          <w:ind w:firstLine="0"/>
        </w:pPr>
        <w:r w:rsidRPr="00295D4F">
          <w:rPr>
            <w:noProof/>
          </w:rPr>
          <mc:AlternateContent>
            <mc:Choice Requires="wps">
              <w:drawing>
                <wp:anchor distT="0" distB="0" distL="114300" distR="114300" simplePos="0" relativeHeight="251665408" behindDoc="0" locked="0" layoutInCell="1" allowOverlap="1" wp14:anchorId="57E09217" wp14:editId="6699B9E3">
                  <wp:simplePos x="0" y="0"/>
                  <wp:positionH relativeFrom="rightMargin">
                    <wp:align>left</wp:align>
                  </wp:positionH>
                  <wp:positionV relativeFrom="bottomMargin">
                    <wp:posOffset>283873</wp:posOffset>
                  </wp:positionV>
                  <wp:extent cx="563218" cy="601345"/>
                  <wp:effectExtent l="0" t="0" r="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18" cy="601345"/>
                          </a:xfrm>
                          <a:prstGeom prst="rect">
                            <a:avLst/>
                          </a:prstGeom>
                          <a:noFill/>
                          <a:ln>
                            <a:noFill/>
                          </a:ln>
                        </wps:spPr>
                        <wps:txbx>
                          <w:txbxContent>
                            <w:sdt>
                              <w:sdtPr>
                                <w:rPr>
                                  <w:rFonts w:eastAsiaTheme="majorEastAsia" w:cstheme="majorBidi"/>
                                  <w:b/>
                                  <w:sz w:val="36"/>
                                  <w:szCs w:val="36"/>
                                </w:rPr>
                                <w:id w:val="22686037"/>
                                <w:docPartObj>
                                  <w:docPartGallery w:val="Page Numbers (Margins)"/>
                                  <w:docPartUnique/>
                                </w:docPartObj>
                              </w:sdtPr>
                              <w:sdtEndPr>
                                <w:rPr>
                                  <w:color w:val="FFFFFF" w:themeColor="background1"/>
                                </w:rPr>
                              </w:sdtEndPr>
                              <w:sdtContent>
                                <w:sdt>
                                  <w:sdtPr>
                                    <w:rPr>
                                      <w:rFonts w:eastAsiaTheme="majorEastAsia" w:cstheme="majorBidi"/>
                                      <w:b/>
                                      <w:color w:val="FFFFFF" w:themeColor="background1"/>
                                      <w:sz w:val="36"/>
                                      <w:szCs w:val="36"/>
                                    </w:rPr>
                                    <w:id w:val="-72278837"/>
                                    <w:docPartObj>
                                      <w:docPartGallery w:val="Page Numbers (Margins)"/>
                                      <w:docPartUnique/>
                                    </w:docPartObj>
                                  </w:sdtPr>
                                  <w:sdtEndPr/>
                                  <w:sdtContent>
                                    <w:p w14:paraId="7A7C102E" w14:textId="77777777" w:rsidR="00A63C73" w:rsidRPr="00F9087D" w:rsidRDefault="00A63C73" w:rsidP="006F7190">
                                      <w:pPr>
                                        <w:ind w:firstLine="0"/>
                                        <w:rPr>
                                          <w:rFonts w:eastAsiaTheme="majorEastAsia" w:cstheme="majorBidi"/>
                                          <w:b/>
                                          <w:color w:val="FFFFFF" w:themeColor="background1"/>
                                          <w:sz w:val="36"/>
                                          <w:szCs w:val="36"/>
                                        </w:rPr>
                                      </w:pPr>
                                      <w:r w:rsidRPr="00F9087D">
                                        <w:rPr>
                                          <w:rFonts w:eastAsiaTheme="minorEastAsia" w:cs="Times New Roman"/>
                                          <w:b/>
                                          <w:color w:val="FFFFFF" w:themeColor="background1"/>
                                          <w:sz w:val="36"/>
                                          <w:szCs w:val="36"/>
                                        </w:rPr>
                                        <w:fldChar w:fldCharType="begin"/>
                                      </w:r>
                                      <w:r w:rsidRPr="00F9087D">
                                        <w:rPr>
                                          <w:b/>
                                          <w:color w:val="FFFFFF" w:themeColor="background1"/>
                                          <w:sz w:val="36"/>
                                          <w:szCs w:val="36"/>
                                        </w:rPr>
                                        <w:instrText xml:space="preserve"> PAGE   \* MERGEFORMAT </w:instrText>
                                      </w:r>
                                      <w:r w:rsidRPr="00F9087D">
                                        <w:rPr>
                                          <w:rFonts w:eastAsiaTheme="minorEastAsia" w:cs="Times New Roman"/>
                                          <w:b/>
                                          <w:color w:val="FFFFFF" w:themeColor="background1"/>
                                          <w:sz w:val="36"/>
                                          <w:szCs w:val="36"/>
                                        </w:rPr>
                                        <w:fldChar w:fldCharType="separate"/>
                                      </w:r>
                                      <w:r w:rsidR="00C8772C" w:rsidRPr="00C8772C">
                                        <w:rPr>
                                          <w:rFonts w:eastAsiaTheme="majorEastAsia" w:cstheme="majorBidi"/>
                                          <w:b/>
                                          <w:noProof/>
                                          <w:color w:val="FFFFFF" w:themeColor="background1"/>
                                          <w:sz w:val="36"/>
                                          <w:szCs w:val="36"/>
                                        </w:rPr>
                                        <w:t>1</w:t>
                                      </w:r>
                                      <w:r w:rsidRPr="00F9087D">
                                        <w:rPr>
                                          <w:rFonts w:eastAsiaTheme="majorEastAsia" w:cstheme="majorBidi"/>
                                          <w:b/>
                                          <w:noProof/>
                                          <w:color w:val="FFFFFF" w:themeColor="background1"/>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09217" id="Rectangle 13" o:spid="_x0000_s1026" style="position:absolute;left:0;text-align:left;margin-left:0;margin-top:22.35pt;width:44.35pt;height:47.35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" filled="f" stroked="f">
                  <v:textbox>
                    <w:txbxContent>
                      <w:sdt>
                        <w:sdtPr>
                          <w:rPr>
                            <w:rFonts w:eastAsiaTheme="majorEastAsia" w:cstheme="majorBidi"/>
                            <w:b/>
                            <w:sz w:val="36"/>
                            <w:szCs w:val="36"/>
                          </w:rPr>
                          <w:id w:val="22686037"/>
                          <w:docPartObj>
                            <w:docPartGallery w:val="Page Numbers (Margins)"/>
                            <w:docPartUnique/>
                          </w:docPartObj>
                        </w:sdtPr>
                        <w:sdtEndPr>
                          <w:rPr>
                            <w:color w:val="FFFFFF" w:themeColor="background1"/>
                          </w:rPr>
                        </w:sdtEndPr>
                        <w:sdtContent>
                          <w:sdt>
                            <w:sdtPr>
                              <w:rPr>
                                <w:rFonts w:eastAsiaTheme="majorEastAsia" w:cstheme="majorBidi"/>
                                <w:b/>
                                <w:color w:val="FFFFFF" w:themeColor="background1"/>
                                <w:sz w:val="36"/>
                                <w:szCs w:val="36"/>
                              </w:rPr>
                              <w:id w:val="-72278837"/>
                              <w:docPartObj>
                                <w:docPartGallery w:val="Page Numbers (Margins)"/>
                                <w:docPartUnique/>
                              </w:docPartObj>
                            </w:sdtPr>
                            <w:sdtEndPr/>
                            <w:sdtContent>
                              <w:p w14:paraId="7A7C102E" w14:textId="77777777" w:rsidR="00A63C73" w:rsidRPr="00F9087D" w:rsidRDefault="00A63C73" w:rsidP="006F7190">
                                <w:pPr>
                                  <w:ind w:firstLine="0"/>
                                  <w:rPr>
                                    <w:rFonts w:eastAsiaTheme="majorEastAsia" w:cstheme="majorBidi"/>
                                    <w:b/>
                                    <w:color w:val="FFFFFF" w:themeColor="background1"/>
                                    <w:sz w:val="36"/>
                                    <w:szCs w:val="36"/>
                                  </w:rPr>
                                </w:pPr>
                                <w:r w:rsidRPr="00F9087D">
                                  <w:rPr>
                                    <w:rFonts w:eastAsiaTheme="minorEastAsia" w:cs="Times New Roman"/>
                                    <w:b/>
                                    <w:color w:val="FFFFFF" w:themeColor="background1"/>
                                    <w:sz w:val="36"/>
                                    <w:szCs w:val="36"/>
                                  </w:rPr>
                                  <w:fldChar w:fldCharType="begin"/>
                                </w:r>
                                <w:r w:rsidRPr="00F9087D">
                                  <w:rPr>
                                    <w:b/>
                                    <w:color w:val="FFFFFF" w:themeColor="background1"/>
                                    <w:sz w:val="36"/>
                                    <w:szCs w:val="36"/>
                                  </w:rPr>
                                  <w:instrText xml:space="preserve"> PAGE   \* MERGEFORMAT </w:instrText>
                                </w:r>
                                <w:r w:rsidRPr="00F9087D">
                                  <w:rPr>
                                    <w:rFonts w:eastAsiaTheme="minorEastAsia" w:cs="Times New Roman"/>
                                    <w:b/>
                                    <w:color w:val="FFFFFF" w:themeColor="background1"/>
                                    <w:sz w:val="36"/>
                                    <w:szCs w:val="36"/>
                                  </w:rPr>
                                  <w:fldChar w:fldCharType="separate"/>
                                </w:r>
                                <w:r w:rsidR="00C8772C" w:rsidRPr="00C8772C">
                                  <w:rPr>
                                    <w:rFonts w:eastAsiaTheme="majorEastAsia" w:cstheme="majorBidi"/>
                                    <w:b/>
                                    <w:noProof/>
                                    <w:color w:val="FFFFFF" w:themeColor="background1"/>
                                    <w:sz w:val="36"/>
                                    <w:szCs w:val="36"/>
                                  </w:rPr>
                                  <w:t>1</w:t>
                                </w:r>
                                <w:r w:rsidRPr="00F9087D">
                                  <w:rPr>
                                    <w:rFonts w:eastAsiaTheme="majorEastAsia" w:cstheme="majorBidi"/>
                                    <w:b/>
                                    <w:noProof/>
                                    <w:color w:val="FFFFFF" w:themeColor="background1"/>
                                    <w:sz w:val="36"/>
                                    <w:szCs w:val="36"/>
                                  </w:rPr>
                                  <w:fldChar w:fldCharType="end"/>
                                </w:r>
                              </w:p>
                            </w:sdtContent>
                          </w:sdt>
                        </w:sdtContent>
                      </w:sdt>
                    </w:txbxContent>
                  </v:textbox>
                  <w10:wrap anchorx="margin" anchory="margin"/>
                </v:rect>
              </w:pict>
            </mc:Fallback>
          </mc:AlternateContent>
        </w:r>
        <w:r w:rsidRPr="00295D4F">
          <w:rPr>
            <w:noProof/>
          </w:rPr>
          <mc:AlternateContent>
            <mc:Choice Requires="wps">
              <w:drawing>
                <wp:anchor distT="0" distB="0" distL="114300" distR="114300" simplePos="0" relativeHeight="251664384" behindDoc="0" locked="0" layoutInCell="1" allowOverlap="1" wp14:anchorId="71214427" wp14:editId="57BC3822">
                  <wp:simplePos x="0" y="0"/>
                  <wp:positionH relativeFrom="page">
                    <wp:posOffset>5341620</wp:posOffset>
                  </wp:positionH>
                  <wp:positionV relativeFrom="paragraph">
                    <wp:posOffset>85090</wp:posOffset>
                  </wp:positionV>
                  <wp:extent cx="2212340" cy="565150"/>
                  <wp:effectExtent l="0" t="0" r="0" b="6350"/>
                  <wp:wrapNone/>
                  <wp:docPr id="35" name="Right Triangle 35"/>
                  <wp:cNvGraphicFramePr/>
                  <a:graphic xmlns:a="http://schemas.openxmlformats.org/drawingml/2006/main">
                    <a:graphicData uri="http://schemas.microsoft.com/office/word/2010/wordprocessingShape">
                      <wps:wsp>
                        <wps:cNvSpPr/>
                        <wps:spPr>
                          <a:xfrm flipH="1">
                            <a:off x="0" y="0"/>
                            <a:ext cx="2212340" cy="565150"/>
                          </a:xfrm>
                          <a:prstGeom prst="rtTriangle">
                            <a:avLst/>
                          </a:prstGeom>
                          <a:solidFill>
                            <a:srgbClr val="00B3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656CE" id="_x0000_t6" coordsize="21600,21600" o:spt="6" path="m,l,21600r21600,xe">
                  <v:stroke joinstyle="miter"/>
                  <v:path gradientshapeok="t" o:connecttype="custom" o:connectlocs="0,0;0,10800;0,21600;10800,21600;21600,21600;10800,10800" textboxrect="1800,12600,12600,19800"/>
                </v:shapetype>
                <v:shape id="Right Triangle 35" o:spid="_x0000_s1026" type="#_x0000_t6" style="position:absolute;margin-left:420.6pt;margin-top:6.7pt;width:174.2pt;height:44.5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" fillcolor="#00b3c4" stroked="f" strokeweight="1pt">
                  <w10:wrap anchorx="page"/>
                </v:shape>
              </w:pict>
            </mc:Fallback>
          </mc:AlternateContent>
        </w:r>
        <w:r w:rsidRPr="00295D4F">
          <w:rPr>
            <w:noProof/>
          </w:rPr>
          <mc:AlternateContent>
            <mc:Choice Requires="wps">
              <w:drawing>
                <wp:anchor distT="0" distB="0" distL="114300" distR="114300" simplePos="0" relativeHeight="251663360" behindDoc="0" locked="0" layoutInCell="1" allowOverlap="1" wp14:anchorId="2209755E" wp14:editId="7380475C">
                  <wp:simplePos x="0" y="0"/>
                  <wp:positionH relativeFrom="page">
                    <wp:posOffset>-243840</wp:posOffset>
                  </wp:positionH>
                  <wp:positionV relativeFrom="paragraph">
                    <wp:posOffset>339090</wp:posOffset>
                  </wp:positionV>
                  <wp:extent cx="7747000" cy="304800"/>
                  <wp:effectExtent l="0" t="0" r="0" b="0"/>
                  <wp:wrapNone/>
                  <wp:docPr id="34" name="Right Triangle 34"/>
                  <wp:cNvGraphicFramePr/>
                  <a:graphic xmlns:a="http://schemas.openxmlformats.org/drawingml/2006/main">
                    <a:graphicData uri="http://schemas.microsoft.com/office/word/2010/wordprocessingShape">
                      <wps:wsp>
                        <wps:cNvSpPr/>
                        <wps:spPr>
                          <a:xfrm>
                            <a:off x="0" y="0"/>
                            <a:ext cx="7747000" cy="304800"/>
                          </a:xfrm>
                          <a:prstGeom prst="r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5368" id="Right Triangle 34" o:spid="_x0000_s1026" type="#_x0000_t6" style="position:absolute;margin-left:-19.2pt;margin-top:26.7pt;width:610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" fillcolor="#d8d8d8 [2732]" stroked="f" strokeweight="1pt">
                  <w10:wrap anchorx="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BFCDE" w14:textId="77777777" w:rsidR="00A63C73" w:rsidRDefault="00A63C73" w:rsidP="00A230CE">
      <w:pPr>
        <w:spacing w:after="0" w:line="240" w:lineRule="auto"/>
      </w:pPr>
      <w:r>
        <w:separator/>
      </w:r>
    </w:p>
  </w:footnote>
  <w:footnote w:type="continuationSeparator" w:id="0">
    <w:p w14:paraId="37909090" w14:textId="77777777" w:rsidR="00A63C73" w:rsidRDefault="00A63C73" w:rsidP="00A230CE">
      <w:pPr>
        <w:spacing w:after="0" w:line="240" w:lineRule="auto"/>
      </w:pPr>
      <w:r>
        <w:continuationSeparator/>
      </w:r>
    </w:p>
  </w:footnote>
  <w:footnote w:id="1">
    <w:p w14:paraId="0EA55225" w14:textId="50C96927" w:rsidR="00A63C73" w:rsidRPr="007420D3" w:rsidRDefault="00A63C73" w:rsidP="00133F0E">
      <w:pPr>
        <w:pStyle w:val="FootnoteText"/>
        <w:ind w:firstLine="0"/>
        <w:rPr>
          <w:lang w:val="hy-AM"/>
        </w:rPr>
      </w:pPr>
      <w:r>
        <w:rPr>
          <w:rStyle w:val="FootnoteReference"/>
        </w:rPr>
        <w:footnoteRef/>
      </w:r>
      <w:r>
        <w:t xml:space="preserve"> </w:t>
      </w:r>
      <w:hyperlink r:id="rId1" w:history="1">
        <w:r w:rsidRPr="0041357A">
          <w:rPr>
            <w:rStyle w:val="Hyperlink"/>
            <w:lang w:val="hy-AM"/>
          </w:rPr>
          <w:t>https://www.arlis.am/DocumentView.aspx?DocID=128281</w:t>
        </w:r>
      </w:hyperlink>
      <w:r>
        <w:rPr>
          <w:lang w:val="hy-AM"/>
        </w:rPr>
        <w:t>:</w:t>
      </w:r>
    </w:p>
  </w:footnote>
  <w:footnote w:id="2">
    <w:p w14:paraId="774D1A13" w14:textId="33ABDB07" w:rsidR="00A63C73" w:rsidRPr="001214D6" w:rsidRDefault="00A63C73" w:rsidP="00133F0E">
      <w:pPr>
        <w:pStyle w:val="FootnoteText"/>
        <w:ind w:firstLine="0"/>
        <w:rPr>
          <w:lang w:val="hy-AM"/>
        </w:rPr>
      </w:pPr>
      <w:r>
        <w:rPr>
          <w:rStyle w:val="FootnoteReference"/>
        </w:rPr>
        <w:footnoteRef/>
      </w:r>
      <w:r w:rsidRPr="00186240">
        <w:rPr>
          <w:lang w:val="hy-AM"/>
        </w:rPr>
        <w:t xml:space="preserve"> </w:t>
      </w:r>
      <w:r w:rsidR="00C8772C">
        <w:fldChar w:fldCharType="begin"/>
      </w:r>
      <w:r w:rsidR="00C8772C" w:rsidRPr="00D00797">
        <w:rPr>
          <w:lang w:val="hy-AM"/>
        </w:rPr>
        <w:instrText xml:space="preserve"> HYPERLINK "https://www.arlis.am/DocumentView.aspx?DocID=155328" </w:instrText>
      </w:r>
      <w:r w:rsidR="00C8772C">
        <w:fldChar w:fldCharType="separate"/>
      </w:r>
      <w:r w:rsidRPr="0041357A">
        <w:rPr>
          <w:rStyle w:val="Hyperlink"/>
          <w:lang w:val="hy-AM"/>
        </w:rPr>
        <w:t>https://www.arlis.am/DocumentView.aspx?DocID=155328</w:t>
      </w:r>
      <w:r w:rsidR="00C8772C">
        <w:rPr>
          <w:rStyle w:val="Hyperlink"/>
          <w:lang w:val="hy-AM"/>
        </w:rPr>
        <w:fldChar w:fldCharType="end"/>
      </w:r>
      <w:r>
        <w:rPr>
          <w:lang w:val="hy-AM"/>
        </w:rPr>
        <w:t>:</w:t>
      </w:r>
    </w:p>
  </w:footnote>
  <w:footnote w:id="3">
    <w:p w14:paraId="557656FA" w14:textId="773CFFCD" w:rsidR="00A63C73" w:rsidRPr="008F5026" w:rsidRDefault="00A63C73" w:rsidP="00D50086">
      <w:pPr>
        <w:pStyle w:val="FootnoteText"/>
        <w:ind w:firstLine="0"/>
        <w:rPr>
          <w:lang w:val="hy-AM"/>
        </w:rPr>
      </w:pPr>
      <w:r>
        <w:rPr>
          <w:rStyle w:val="FootnoteReference"/>
        </w:rPr>
        <w:footnoteRef/>
      </w:r>
      <w:r w:rsidRPr="00186240">
        <w:rPr>
          <w:lang w:val="hy-AM"/>
        </w:rPr>
        <w:t xml:space="preserve"> </w:t>
      </w:r>
      <w:r w:rsidR="00C8772C">
        <w:fldChar w:fldCharType="begin"/>
      </w:r>
      <w:r w:rsidR="00C8772C" w:rsidRPr="00D00797">
        <w:rPr>
          <w:lang w:val="hy-AM"/>
        </w:rPr>
        <w:instrText xml:space="preserve"> HYPERLINK "https://www.minfin.am/website/images/website/documents/copy_1_mj</w:instrText>
      </w:r>
      <w:r w:rsidR="00C8772C" w:rsidRPr="00D00797">
        <w:rPr>
          <w:lang w:val="hy-AM"/>
        </w:rPr>
        <w:instrText xml:space="preserve">cc.zip" </w:instrText>
      </w:r>
      <w:r w:rsidR="00C8772C">
        <w:fldChar w:fldCharType="separate"/>
      </w:r>
      <w:r w:rsidRPr="00340007">
        <w:rPr>
          <w:rStyle w:val="Hyperlink"/>
          <w:lang w:val="hy-AM"/>
        </w:rPr>
        <w:t>https://www.minfin.am/website/images/website/documents/copy_1_mjcc.zip</w:t>
      </w:r>
      <w:r w:rsidR="00C8772C">
        <w:rPr>
          <w:rStyle w:val="Hyperlink"/>
          <w:lang w:val="hy-AM"/>
        </w:rPr>
        <w:fldChar w:fldCharType="end"/>
      </w:r>
      <w:r>
        <w:rPr>
          <w:lang w:val="hy-AM"/>
        </w:rPr>
        <w:t>:</w:t>
      </w:r>
    </w:p>
  </w:footnote>
  <w:footnote w:id="4">
    <w:p w14:paraId="1F2380D7" w14:textId="591D77CB" w:rsidR="00A63C73" w:rsidRPr="008F5026" w:rsidRDefault="00A63C73" w:rsidP="0021273C">
      <w:pPr>
        <w:pStyle w:val="FootnoteText"/>
        <w:ind w:firstLine="0"/>
        <w:rPr>
          <w:lang w:val="hy-AM"/>
        </w:rPr>
      </w:pPr>
      <w:r>
        <w:rPr>
          <w:rStyle w:val="FootnoteReference"/>
        </w:rPr>
        <w:footnoteRef/>
      </w:r>
      <w:r w:rsidRPr="00186240">
        <w:rPr>
          <w:lang w:val="hy-AM"/>
        </w:rPr>
        <w:t xml:space="preserve"> </w:t>
      </w:r>
      <w:r w:rsidR="00C8772C">
        <w:fldChar w:fldCharType="begin"/>
      </w:r>
      <w:r w:rsidR="00C8772C" w:rsidRPr="00D00797">
        <w:rPr>
          <w:lang w:val="hy-AM"/>
        </w:rPr>
        <w:instrText xml:space="preserve"> HYPERLINK "https://www.minfin.am/hy/page/petakan_byuje_2022t_nakhagits_" </w:instrText>
      </w:r>
      <w:r w:rsidR="00C8772C">
        <w:fldChar w:fldCharType="separate"/>
      </w:r>
      <w:r w:rsidRPr="00340007">
        <w:rPr>
          <w:rStyle w:val="Hyperlink"/>
          <w:lang w:val="hy-AM"/>
        </w:rPr>
        <w:t>https://www.minfin.am/hy/page/petakan_byuje_2022t_nakhagits</w:t>
      </w:r>
      <w:r w:rsidR="00C8772C">
        <w:rPr>
          <w:rStyle w:val="Hyperlink"/>
          <w:lang w:val="hy-AM"/>
        </w:rPr>
        <w:fldChar w:fldCharType="end"/>
      </w:r>
      <w:r>
        <w:rPr>
          <w:lang w:val="hy-AM"/>
        </w:rPr>
        <w:t>:</w:t>
      </w:r>
    </w:p>
  </w:footnote>
  <w:footnote w:id="5">
    <w:p w14:paraId="2339A074" w14:textId="43313AA6" w:rsidR="00A63C73" w:rsidRPr="00A230CE" w:rsidRDefault="00A63C73" w:rsidP="00D749A7">
      <w:pPr>
        <w:pStyle w:val="FootnoteText"/>
        <w:ind w:firstLine="0"/>
        <w:rPr>
          <w:lang w:val="hy-AM"/>
        </w:rPr>
      </w:pPr>
      <w:r>
        <w:rPr>
          <w:rStyle w:val="FootnoteReference"/>
        </w:rPr>
        <w:footnoteRef/>
      </w:r>
      <w:r w:rsidRPr="00186240">
        <w:rPr>
          <w:lang w:val="hy-AM"/>
        </w:rPr>
        <w:t xml:space="preserve"> Տնտեսական աճ ասելով</w:t>
      </w:r>
      <w:r w:rsidRPr="00FA7CBE">
        <w:rPr>
          <w:lang w:val="hy-AM"/>
        </w:rPr>
        <w:t>՝</w:t>
      </w:r>
      <w:r w:rsidRPr="00186240">
        <w:rPr>
          <w:lang w:val="hy-AM"/>
        </w:rPr>
        <w:t xml:space="preserve"> </w:t>
      </w:r>
      <w:r>
        <w:rPr>
          <w:lang w:val="hy-AM"/>
        </w:rPr>
        <w:t>նկատի ուն</w:t>
      </w:r>
      <w:r w:rsidRPr="00186240">
        <w:rPr>
          <w:lang w:val="hy-AM"/>
        </w:rPr>
        <w:t xml:space="preserve">ենք </w:t>
      </w:r>
      <w:r>
        <w:rPr>
          <w:lang w:val="hy-AM"/>
        </w:rPr>
        <w:t xml:space="preserve">երկրի </w:t>
      </w:r>
      <w:r w:rsidRPr="00186240">
        <w:rPr>
          <w:lang w:val="hy-AM"/>
        </w:rPr>
        <w:t>համախառն ներքին արդյունքի (ՀՆԱ) իրական (</w:t>
      </w:r>
      <w:r>
        <w:rPr>
          <w:lang w:val="hy-AM"/>
        </w:rPr>
        <w:t>գնաճով ճշգրտված</w:t>
      </w:r>
      <w:r w:rsidRPr="00186240">
        <w:rPr>
          <w:lang w:val="hy-AM"/>
        </w:rPr>
        <w:t>) ծավալի</w:t>
      </w:r>
      <w:r>
        <w:rPr>
          <w:lang w:val="hy-AM"/>
        </w:rPr>
        <w:t xml:space="preserve"> </w:t>
      </w:r>
      <w:r w:rsidRPr="00186240">
        <w:rPr>
          <w:lang w:val="hy-AM"/>
        </w:rPr>
        <w:t>աճը</w:t>
      </w:r>
      <w:r>
        <w:rPr>
          <w:lang w:val="hy-AM"/>
        </w:rPr>
        <w:t>:</w:t>
      </w:r>
    </w:p>
  </w:footnote>
  <w:footnote w:id="6">
    <w:p w14:paraId="74CD3B9C" w14:textId="69307F7D" w:rsidR="00A63C73" w:rsidRPr="00A43310" w:rsidRDefault="00A63C73" w:rsidP="00D749A7">
      <w:pPr>
        <w:pStyle w:val="FootnoteText"/>
        <w:ind w:firstLine="0"/>
        <w:rPr>
          <w:lang w:val="hy-AM"/>
        </w:rPr>
      </w:pPr>
      <w:r>
        <w:rPr>
          <w:rStyle w:val="FootnoteReference"/>
        </w:rPr>
        <w:footnoteRef/>
      </w:r>
      <w:r w:rsidRPr="00186240">
        <w:rPr>
          <w:lang w:val="hy-AM"/>
        </w:rPr>
        <w:t xml:space="preserve"> </w:t>
      </w:r>
      <w:r>
        <w:rPr>
          <w:lang w:val="hy-AM"/>
        </w:rPr>
        <w:t xml:space="preserve">Տնտեսական աճի կառուցվածքը կարելի է դիտարկել երկու ուղղությամբ: Առաջին հերթին՝ կարևոր է, թե տնտեսության ո՞ր ճյուղերում է ստեղծվել տնտեսական արդյունքը: Երկրորդ հերթին՝ կարևոր է, թե ստեղծված հավելյալ արժեքն ինչպես է օգտագործվել </w:t>
      </w:r>
      <w:r w:rsidRPr="00186240">
        <w:rPr>
          <w:lang w:val="hy-AM"/>
        </w:rPr>
        <w:t>(</w:t>
      </w:r>
      <w:r>
        <w:rPr>
          <w:lang w:val="hy-AM"/>
        </w:rPr>
        <w:t>ծախսվել</w:t>
      </w:r>
      <w:r w:rsidRPr="00186240">
        <w:rPr>
          <w:lang w:val="hy-AM"/>
        </w:rPr>
        <w:t>)</w:t>
      </w:r>
      <w:r>
        <w:rPr>
          <w:lang w:val="hy-AM"/>
        </w:rPr>
        <w:t xml:space="preserve"> տնտեսությունում </w:t>
      </w:r>
      <w:r w:rsidRPr="00186240">
        <w:rPr>
          <w:lang w:val="hy-AM"/>
        </w:rPr>
        <w:t>(</w:t>
      </w:r>
      <w:r>
        <w:rPr>
          <w:lang w:val="hy-AM"/>
        </w:rPr>
        <w:t>սպառվել է, ներդրվել, թե՞ արտահանվել</w:t>
      </w:r>
      <w:r w:rsidRPr="00186240">
        <w:rPr>
          <w:lang w:val="hy-AM"/>
        </w:rPr>
        <w:t>)</w:t>
      </w:r>
      <w:r>
        <w:rPr>
          <w:lang w:val="hy-AM"/>
        </w:rPr>
        <w:t xml:space="preserve">: </w:t>
      </w:r>
    </w:p>
  </w:footnote>
  <w:footnote w:id="7">
    <w:p w14:paraId="0074B5BA" w14:textId="4E2AA267" w:rsidR="00A63C73" w:rsidRPr="000B7E26" w:rsidRDefault="00A63C73" w:rsidP="00D749A7">
      <w:pPr>
        <w:pStyle w:val="FootnoteText"/>
        <w:ind w:firstLine="0"/>
        <w:rPr>
          <w:lang w:val="hy-AM"/>
        </w:rPr>
      </w:pPr>
      <w:r>
        <w:rPr>
          <w:rStyle w:val="FootnoteReference"/>
        </w:rPr>
        <w:footnoteRef/>
      </w:r>
      <w:r w:rsidRPr="00186240">
        <w:rPr>
          <w:lang w:val="hy-AM"/>
        </w:rPr>
        <w:t xml:space="preserve"> </w:t>
      </w:r>
      <w:r>
        <w:rPr>
          <w:lang w:val="hy-AM"/>
        </w:rPr>
        <w:t>Աճի ներառականության մակարդակը ցույց է տալիս՝ արդյո՞ք հավասարապես է բաշխվում տնտեսական արդյունքը հասարակության անդամների միջև, թե՞ այն կենտրոնանում է միայն որոշ խմբերի մոտ` չնպաստելով բնակչության կենսամակարդակի հավասարաչափ բարելավմանը:</w:t>
      </w:r>
    </w:p>
  </w:footnote>
  <w:footnote w:id="8">
    <w:p w14:paraId="0DE5FD17" w14:textId="38EB63C1" w:rsidR="00A63C73" w:rsidRPr="00186240" w:rsidRDefault="00A63C73" w:rsidP="00496155">
      <w:pPr>
        <w:pStyle w:val="FootnoteText"/>
        <w:ind w:firstLine="0"/>
        <w:rPr>
          <w:lang w:val="hy-AM"/>
        </w:rPr>
      </w:pPr>
      <w:r>
        <w:rPr>
          <w:rStyle w:val="FootnoteReference"/>
        </w:rPr>
        <w:footnoteRef/>
      </w:r>
      <w:r w:rsidRPr="00186240">
        <w:rPr>
          <w:lang w:val="hy-AM"/>
        </w:rPr>
        <w:t xml:space="preserve"> </w:t>
      </w:r>
      <w:r>
        <w:rPr>
          <w:lang w:val="hy-AM"/>
        </w:rPr>
        <w:t xml:space="preserve">Աղբյուրը` ՀՀ ՎԿ տվյալների շտեմարան: Հաշվարկները կատարված են շղթայակապ ինդեքսների հիմքով, 2015թ. </w:t>
      </w:r>
      <w:r w:rsidRPr="00186240">
        <w:rPr>
          <w:lang w:val="hy-AM"/>
        </w:rPr>
        <w:t>= 100:</w:t>
      </w:r>
    </w:p>
  </w:footnote>
  <w:footnote w:id="9">
    <w:p w14:paraId="186C6356" w14:textId="7C2D9E81" w:rsidR="00A63C73" w:rsidRPr="00186240" w:rsidRDefault="00A63C73" w:rsidP="00D749A7">
      <w:pPr>
        <w:pStyle w:val="FootnoteText"/>
        <w:ind w:firstLine="0"/>
        <w:rPr>
          <w:lang w:val="hy-AM"/>
        </w:rPr>
      </w:pPr>
      <w:r>
        <w:rPr>
          <w:rStyle w:val="FootnoteReference"/>
        </w:rPr>
        <w:footnoteRef/>
      </w:r>
      <w:r w:rsidRPr="00186240">
        <w:rPr>
          <w:lang w:val="hy-AM"/>
        </w:rPr>
        <w:t xml:space="preserve"> </w:t>
      </w:r>
      <w:r w:rsidRPr="000F06A1">
        <w:rPr>
          <w:lang w:val="hy-AM"/>
        </w:rPr>
        <w:t>ՀՀ տնտեսության սոցիալ-տնտեսական զարգացումները 2021 թվականի հունվար-սեպտեմբեր ամիսներին</w:t>
      </w:r>
      <w:r w:rsidRPr="00186240">
        <w:rPr>
          <w:lang w:val="hy-AM"/>
        </w:rPr>
        <w:t xml:space="preserve">, «Լույս» հիմնադրամ, 2021: Հասանելի է հետևյալ հղմամբ՝ </w:t>
      </w:r>
      <w:r w:rsidR="00C8772C">
        <w:fldChar w:fldCharType="begin"/>
      </w:r>
      <w:r w:rsidR="00C8772C" w:rsidRPr="00D00797">
        <w:rPr>
          <w:lang w:val="hy-AM"/>
        </w:rPr>
        <w:instrText xml:space="preserve"> HYPERLINK "https://bit.ly/3BWcv5R" </w:instrText>
      </w:r>
      <w:r w:rsidR="00C8772C">
        <w:fldChar w:fldCharType="separate"/>
      </w:r>
      <w:r w:rsidRPr="00186240">
        <w:rPr>
          <w:rStyle w:val="Hyperlink"/>
          <w:lang w:val="hy-AM"/>
        </w:rPr>
        <w:t>https://bit.ly/3BWcv5R</w:t>
      </w:r>
      <w:r w:rsidR="00C8772C">
        <w:rPr>
          <w:rStyle w:val="Hyperlink"/>
          <w:lang w:val="hy-AM"/>
        </w:rPr>
        <w:fldChar w:fldCharType="end"/>
      </w:r>
      <w:r w:rsidRPr="00186240">
        <w:rPr>
          <w:lang w:val="hy-AM"/>
        </w:rPr>
        <w:t>:</w:t>
      </w:r>
    </w:p>
  </w:footnote>
  <w:footnote w:id="10">
    <w:p w14:paraId="1300E1D8" w14:textId="77777777" w:rsidR="00A63C73" w:rsidRPr="0089628A" w:rsidRDefault="00A63C73" w:rsidP="005C17DE">
      <w:pPr>
        <w:pStyle w:val="FootnoteText"/>
        <w:ind w:firstLine="0"/>
        <w:rPr>
          <w:lang w:val="hy-AM"/>
        </w:rPr>
      </w:pPr>
      <w:r>
        <w:rPr>
          <w:rStyle w:val="FootnoteReference"/>
        </w:rPr>
        <w:footnoteRef/>
      </w:r>
      <w:r w:rsidRPr="00186240">
        <w:rPr>
          <w:lang w:val="hy-AM"/>
        </w:rPr>
        <w:t xml:space="preserve"> </w:t>
      </w:r>
      <w:r>
        <w:rPr>
          <w:lang w:val="hy-AM"/>
        </w:rPr>
        <w:t xml:space="preserve">Պետական ներդրումները պետության կողմից ֆիզիկական կապիտալում </w:t>
      </w:r>
      <w:r w:rsidRPr="00186240">
        <w:rPr>
          <w:lang w:val="hy-AM"/>
        </w:rPr>
        <w:t>(</w:t>
      </w:r>
      <w:r>
        <w:rPr>
          <w:lang w:val="hy-AM"/>
        </w:rPr>
        <w:t>տնտեսության ենթակառուցվածքներում</w:t>
      </w:r>
      <w:r w:rsidRPr="00186240">
        <w:rPr>
          <w:lang w:val="hy-AM"/>
        </w:rPr>
        <w:t>)</w:t>
      </w:r>
      <w:r>
        <w:rPr>
          <w:lang w:val="hy-AM"/>
        </w:rPr>
        <w:t xml:space="preserve"> կատարված կապիտալ ծախսերն են:</w:t>
      </w:r>
    </w:p>
  </w:footnote>
  <w:footnote w:id="11">
    <w:p w14:paraId="4DFFD37E" w14:textId="14B92AF3" w:rsidR="00A63C73" w:rsidRPr="00186240" w:rsidRDefault="00A63C73" w:rsidP="008C0061">
      <w:pPr>
        <w:pStyle w:val="FootnoteText"/>
        <w:ind w:firstLine="0"/>
        <w:rPr>
          <w:lang w:val="hy-AM"/>
        </w:rPr>
      </w:pPr>
      <w:r>
        <w:rPr>
          <w:rStyle w:val="FootnoteReference"/>
        </w:rPr>
        <w:footnoteRef/>
      </w:r>
      <w:r w:rsidRPr="00186240">
        <w:rPr>
          <w:lang w:val="hy-AM"/>
        </w:rPr>
        <w:t xml:space="preserve"> </w:t>
      </w:r>
      <w:r>
        <w:rPr>
          <w:lang w:val="hy-AM"/>
        </w:rPr>
        <w:t xml:space="preserve">Աղբյուրը` ՀՀ ԿԲ Գնաճի հաշվետվություն/3, 2021թ., </w:t>
      </w:r>
      <w:r w:rsidR="00C8772C">
        <w:fldChar w:fldCharType="begin"/>
      </w:r>
      <w:r w:rsidR="00C8772C" w:rsidRPr="00D00797">
        <w:rPr>
          <w:lang w:val="hy-AM"/>
        </w:rPr>
        <w:instrText xml:space="preserve"> HYPERLINK "https://bit.ly/3bARNxz" </w:instrText>
      </w:r>
      <w:r w:rsidR="00C8772C">
        <w:fldChar w:fldCharType="separate"/>
      </w:r>
      <w:r w:rsidRPr="00BE676A">
        <w:rPr>
          <w:rStyle w:val="Hyperlink"/>
          <w:lang w:val="hy-AM"/>
        </w:rPr>
        <w:t>https://bit.ly/3bARNxz</w:t>
      </w:r>
      <w:r w:rsidR="00C8772C">
        <w:rPr>
          <w:rStyle w:val="Hyperlink"/>
          <w:lang w:val="hy-AM"/>
        </w:rPr>
        <w:fldChar w:fldCharType="end"/>
      </w:r>
      <w:r>
        <w:rPr>
          <w:lang w:val="hy-AM"/>
        </w:rPr>
        <w:t>, էջ 52:</w:t>
      </w:r>
    </w:p>
  </w:footnote>
  <w:footnote w:id="12">
    <w:p w14:paraId="6A616558" w14:textId="77777777" w:rsidR="00A63C73" w:rsidRPr="00A15714" w:rsidRDefault="00A63C73" w:rsidP="00186B00">
      <w:pPr>
        <w:pStyle w:val="FootnoteText"/>
        <w:ind w:firstLine="0"/>
        <w:rPr>
          <w:lang w:val="hy-AM"/>
        </w:rPr>
      </w:pPr>
      <w:r>
        <w:rPr>
          <w:rStyle w:val="FootnoteReference"/>
        </w:rPr>
        <w:footnoteRef/>
      </w:r>
      <w:r w:rsidRPr="00186240">
        <w:rPr>
          <w:lang w:val="hy-AM"/>
        </w:rPr>
        <w:t xml:space="preserve"> </w:t>
      </w:r>
      <w:r>
        <w:rPr>
          <w:lang w:val="hy-AM"/>
        </w:rPr>
        <w:t xml:space="preserve">Աղբյուրը` ՀՀ ՎԿ տվյալների շտեմարան: Ներկայացված է </w:t>
      </w:r>
      <w:r w:rsidRPr="00186B00">
        <w:rPr>
          <w:lang w:val="hy-AM"/>
        </w:rPr>
        <w:t>ֆինանսական պարտավորությունների զուտ ստանձնումը</w:t>
      </w:r>
      <w:r>
        <w:rPr>
          <w:lang w:val="hy-AM"/>
        </w:rPr>
        <w:t>:</w:t>
      </w:r>
    </w:p>
  </w:footnote>
  <w:footnote w:id="13">
    <w:p w14:paraId="3579DDF3" w14:textId="29532B8D" w:rsidR="00A63C73" w:rsidRPr="002D0EC3" w:rsidRDefault="00A63C73" w:rsidP="00272423">
      <w:pPr>
        <w:pStyle w:val="FootnoteText"/>
        <w:ind w:firstLine="0"/>
        <w:rPr>
          <w:lang w:val="hy-AM"/>
        </w:rPr>
      </w:pPr>
      <w:r>
        <w:rPr>
          <w:rStyle w:val="FootnoteReference"/>
        </w:rPr>
        <w:footnoteRef/>
      </w:r>
      <w:r w:rsidRPr="00186240">
        <w:rPr>
          <w:lang w:val="hy-AM"/>
        </w:rPr>
        <w:t xml:space="preserve"> </w:t>
      </w:r>
      <w:r>
        <w:rPr>
          <w:lang w:val="hy-AM"/>
        </w:rPr>
        <w:t xml:space="preserve">Աղբյուրը` ՀՀ ԿԲ Գնաճի հաշվետվություն/3, 2021թ., </w:t>
      </w:r>
      <w:r w:rsidR="00C8772C">
        <w:fldChar w:fldCharType="begin"/>
      </w:r>
      <w:r w:rsidR="00C8772C" w:rsidRPr="00D00797">
        <w:rPr>
          <w:lang w:val="hy-AM"/>
        </w:rPr>
        <w:instrText xml:space="preserve"> HYPERLINK "https://bit.ly/3bARNxz" </w:instrText>
      </w:r>
      <w:r w:rsidR="00C8772C">
        <w:fldChar w:fldCharType="separate"/>
      </w:r>
      <w:r w:rsidRPr="00BE676A">
        <w:rPr>
          <w:rStyle w:val="Hyperlink"/>
          <w:lang w:val="hy-AM"/>
        </w:rPr>
        <w:t>https://bit.ly/3bARNxz</w:t>
      </w:r>
      <w:r w:rsidR="00C8772C">
        <w:rPr>
          <w:rStyle w:val="Hyperlink"/>
          <w:lang w:val="hy-AM"/>
        </w:rPr>
        <w:fldChar w:fldCharType="end"/>
      </w:r>
      <w:r>
        <w:rPr>
          <w:lang w:val="hy-AM"/>
        </w:rPr>
        <w:t>, էջ 52:</w:t>
      </w:r>
    </w:p>
  </w:footnote>
  <w:footnote w:id="14">
    <w:p w14:paraId="1F448C38" w14:textId="76BA9BA2" w:rsidR="00A63C73" w:rsidRPr="002D0EC3" w:rsidRDefault="00A63C73" w:rsidP="00CA6465">
      <w:pPr>
        <w:pStyle w:val="FootnoteText"/>
        <w:ind w:firstLine="0"/>
        <w:rPr>
          <w:lang w:val="hy-AM"/>
        </w:rPr>
      </w:pPr>
      <w:r>
        <w:rPr>
          <w:rStyle w:val="FootnoteReference"/>
        </w:rPr>
        <w:footnoteRef/>
      </w:r>
      <w:r w:rsidRPr="00186240">
        <w:rPr>
          <w:lang w:val="hy-AM"/>
        </w:rPr>
        <w:t xml:space="preserve"> </w:t>
      </w:r>
      <w:r>
        <w:rPr>
          <w:lang w:val="hy-AM"/>
        </w:rPr>
        <w:t xml:space="preserve">Աղբյուրը` ՀՀ ֆինանսների նախարարության տվյալների շտեմարան, ՀՀ պետական բյուջեի` </w:t>
      </w:r>
      <w:r w:rsidRPr="00186240">
        <w:rPr>
          <w:lang w:val="hy-AM"/>
        </w:rPr>
        <w:t xml:space="preserve">2019 </w:t>
      </w:r>
      <w:r>
        <w:rPr>
          <w:lang w:val="hy-AM"/>
        </w:rPr>
        <w:t>և 2020թթ. տարեկան հաշվետվություններ և 2021թ. առաջին կիսամյակի հաշվետվություն:</w:t>
      </w:r>
    </w:p>
  </w:footnote>
  <w:footnote w:id="15">
    <w:p w14:paraId="23C40B20" w14:textId="77777777" w:rsidR="00A63C73" w:rsidRPr="001F7B5E" w:rsidRDefault="00A63C73" w:rsidP="00D749A7">
      <w:pPr>
        <w:pStyle w:val="FootnoteText"/>
        <w:ind w:firstLine="0"/>
        <w:rPr>
          <w:lang w:val="hy-AM"/>
        </w:rPr>
      </w:pPr>
      <w:r>
        <w:rPr>
          <w:rStyle w:val="FootnoteReference"/>
        </w:rPr>
        <w:footnoteRef/>
      </w:r>
      <w:r w:rsidRPr="00186240">
        <w:rPr>
          <w:lang w:val="hy-AM"/>
        </w:rPr>
        <w:t xml:space="preserve"> ՀՀ պետական բյուջեի կապիտալ ծախսերի թերակատարումը և դրա հնարավոր հետևանքները, «Լույս» հիմնադրամ, 2019:</w:t>
      </w:r>
    </w:p>
  </w:footnote>
  <w:footnote w:id="16">
    <w:p w14:paraId="61906EA3" w14:textId="6199FF33" w:rsidR="00A63C73" w:rsidRPr="008F5026" w:rsidRDefault="00A63C73" w:rsidP="00E76684">
      <w:pPr>
        <w:pStyle w:val="FootnoteText"/>
        <w:ind w:firstLine="0"/>
        <w:rPr>
          <w:lang w:val="hy-AM"/>
        </w:rPr>
      </w:pPr>
      <w:r>
        <w:rPr>
          <w:rStyle w:val="FootnoteReference"/>
        </w:rPr>
        <w:footnoteRef/>
      </w:r>
      <w:r w:rsidRPr="00186240">
        <w:rPr>
          <w:lang w:val="hy-AM"/>
        </w:rPr>
        <w:t xml:space="preserve"> </w:t>
      </w:r>
      <w:r>
        <w:rPr>
          <w:lang w:val="hy-AM"/>
        </w:rPr>
        <w:t>2021-2022թթ. կանխատեսումները` համաձայն ՀՀ 2022թ. պետական բյուջեի նախագծի, իսկ 2023-2024թթ. կանխատեսումները` ՀՀ կառավարության 2022-2024թթ. ՄԺԾԾ-ի:</w:t>
      </w:r>
    </w:p>
  </w:footnote>
  <w:footnote w:id="17">
    <w:p w14:paraId="32EB88BE" w14:textId="784F8A9E" w:rsidR="00A63C73" w:rsidRPr="00D619A0" w:rsidRDefault="00A63C73" w:rsidP="00D749A7">
      <w:pPr>
        <w:pStyle w:val="FootnoteText"/>
        <w:ind w:firstLine="0"/>
        <w:rPr>
          <w:lang w:val="hy-AM"/>
        </w:rPr>
      </w:pPr>
      <w:r>
        <w:rPr>
          <w:rStyle w:val="FootnoteReference"/>
        </w:rPr>
        <w:footnoteRef/>
      </w:r>
      <w:r w:rsidRPr="00186240">
        <w:rPr>
          <w:lang w:val="hy-AM"/>
        </w:rPr>
        <w:t xml:space="preserve"> </w:t>
      </w:r>
      <w:r>
        <w:rPr>
          <w:lang w:val="hy-AM"/>
        </w:rPr>
        <w:t>Ինդեքսը ներկայացվում է ՀԲ</w:t>
      </w:r>
      <w:r w:rsidRPr="00186240">
        <w:rPr>
          <w:lang w:val="hy-AM"/>
        </w:rPr>
        <w:t xml:space="preserve"> </w:t>
      </w:r>
      <w:r>
        <w:rPr>
          <w:lang w:val="hy-AM"/>
        </w:rPr>
        <w:t>կողմից` «Գործարարությամբ զբաղվելը» ամենամյա զեկույցում:</w:t>
      </w:r>
    </w:p>
  </w:footnote>
  <w:footnote w:id="18">
    <w:p w14:paraId="2FF80842" w14:textId="6476F45E" w:rsidR="00A63C73" w:rsidRPr="009B4554" w:rsidRDefault="00A63C73" w:rsidP="002343A8">
      <w:pPr>
        <w:pStyle w:val="FootnoteText"/>
        <w:ind w:firstLine="0"/>
        <w:rPr>
          <w:lang w:val="hy-AM"/>
        </w:rPr>
      </w:pPr>
      <w:r>
        <w:rPr>
          <w:rStyle w:val="FootnoteReference"/>
        </w:rPr>
        <w:footnoteRef/>
      </w:r>
      <w:r w:rsidRPr="00186240">
        <w:rPr>
          <w:lang w:val="hy-AM"/>
        </w:rPr>
        <w:t xml:space="preserve"> </w:t>
      </w:r>
      <w:r>
        <w:rPr>
          <w:lang w:val="hy-AM"/>
        </w:rPr>
        <w:t xml:space="preserve">Աղբյուրը` ՀՀ ՎԿ տվյալների շտեմարան, </w:t>
      </w:r>
      <w:r w:rsidRPr="008D325C">
        <w:rPr>
          <w:lang w:val="hy-AM"/>
        </w:rPr>
        <w:t>«</w:t>
      </w:r>
      <w:r w:rsidRPr="00357FC9">
        <w:rPr>
          <w:lang w:val="hy-AM"/>
        </w:rPr>
        <w:t xml:space="preserve">Փոքր և միջին ձեռնարկատիրությունը </w:t>
      </w:r>
      <w:r>
        <w:rPr>
          <w:lang w:val="hy-AM"/>
        </w:rPr>
        <w:t>ՀՀ-ում</w:t>
      </w:r>
      <w:r w:rsidRPr="008D325C">
        <w:rPr>
          <w:lang w:val="hy-AM"/>
        </w:rPr>
        <w:t>»</w:t>
      </w:r>
      <w:r>
        <w:rPr>
          <w:lang w:val="hy-AM"/>
        </w:rPr>
        <w:t>:</w:t>
      </w:r>
    </w:p>
  </w:footnote>
  <w:footnote w:id="19">
    <w:p w14:paraId="5961ABF5" w14:textId="078738C9" w:rsidR="00A63C73" w:rsidRPr="00521D6A" w:rsidRDefault="00A63C73" w:rsidP="002343A8">
      <w:pPr>
        <w:pStyle w:val="FootnoteText"/>
        <w:ind w:firstLine="0"/>
        <w:rPr>
          <w:lang w:val="hy-AM"/>
        </w:rPr>
      </w:pPr>
      <w:r>
        <w:rPr>
          <w:rStyle w:val="FootnoteReference"/>
        </w:rPr>
        <w:footnoteRef/>
      </w:r>
      <w:r w:rsidRPr="00186240">
        <w:rPr>
          <w:lang w:val="hy-AM"/>
        </w:rPr>
        <w:t xml:space="preserve"> </w:t>
      </w:r>
      <w:r>
        <w:rPr>
          <w:lang w:val="hy-AM"/>
        </w:rPr>
        <w:t>2020թ. վերաբերյալ տեղեկատվությունը աշխատության կազմման պահին չէր հրապարակվել:</w:t>
      </w:r>
    </w:p>
  </w:footnote>
  <w:footnote w:id="20">
    <w:p w14:paraId="354EEC46" w14:textId="6F5C13DF" w:rsidR="00A63C73" w:rsidRPr="008F5026" w:rsidRDefault="00A63C73" w:rsidP="0051591E">
      <w:pPr>
        <w:pStyle w:val="FootnoteText"/>
        <w:ind w:firstLine="0"/>
        <w:rPr>
          <w:lang w:val="hy-AM"/>
        </w:rPr>
      </w:pPr>
      <w:r>
        <w:rPr>
          <w:rStyle w:val="FootnoteReference"/>
        </w:rPr>
        <w:footnoteRef/>
      </w:r>
      <w:r w:rsidRPr="00186240">
        <w:rPr>
          <w:lang w:val="hy-AM"/>
        </w:rPr>
        <w:t xml:space="preserve"> </w:t>
      </w:r>
      <w:r>
        <w:rPr>
          <w:lang w:val="hy-AM"/>
        </w:rPr>
        <w:t>2021-2022թթ. կանխատեսումները` համաձայն ՀՀ 2022թ. պետական բյուջեի նախագծի, իսկ 2023-2024թթ. կանխատեսումները` ՀՀ կառավարության 2022-2024թթ. ՄԺԾԾ-ի:</w:t>
      </w:r>
    </w:p>
  </w:footnote>
  <w:footnote w:id="21">
    <w:p w14:paraId="4EE686F6" w14:textId="7A168D18" w:rsidR="00A63C73" w:rsidRPr="008F5026" w:rsidRDefault="00A63C73" w:rsidP="00361DAA">
      <w:pPr>
        <w:pStyle w:val="FootnoteText"/>
        <w:ind w:firstLine="0"/>
        <w:rPr>
          <w:lang w:val="hy-AM"/>
        </w:rPr>
      </w:pPr>
      <w:r>
        <w:rPr>
          <w:rStyle w:val="FootnoteReference"/>
        </w:rPr>
        <w:footnoteRef/>
      </w:r>
      <w:r w:rsidRPr="00186240">
        <w:rPr>
          <w:lang w:val="hy-AM"/>
        </w:rPr>
        <w:t xml:space="preserve"> </w:t>
      </w:r>
      <w:r>
        <w:rPr>
          <w:lang w:val="hy-AM"/>
        </w:rPr>
        <w:t>Աղբյուրը` ՀՀ ԿԲ Գնաճի հաշվետվություն/3, 2021թ.</w:t>
      </w:r>
      <w:r w:rsidRPr="008D325C">
        <w:rPr>
          <w:lang w:val="hy-AM"/>
        </w:rPr>
        <w:t>,</w:t>
      </w:r>
      <w:r>
        <w:rPr>
          <w:lang w:val="hy-AM"/>
        </w:rPr>
        <w:t xml:space="preserve"> </w:t>
      </w:r>
      <w:r w:rsidR="00C8772C">
        <w:fldChar w:fldCharType="begin"/>
      </w:r>
      <w:r w:rsidR="00C8772C" w:rsidRPr="00D00797">
        <w:rPr>
          <w:lang w:val="hy-AM"/>
        </w:rPr>
        <w:instrText xml:space="preserve"> HYPERLINK "https://bit.ly/3bARNxz" </w:instrText>
      </w:r>
      <w:r w:rsidR="00C8772C">
        <w:fldChar w:fldCharType="separate"/>
      </w:r>
      <w:r w:rsidRPr="00BE676A">
        <w:rPr>
          <w:rStyle w:val="Hyperlink"/>
          <w:lang w:val="hy-AM"/>
        </w:rPr>
        <w:t>https://bit.ly/3bARNxz</w:t>
      </w:r>
      <w:r w:rsidR="00C8772C">
        <w:rPr>
          <w:rStyle w:val="Hyperlink"/>
          <w:lang w:val="hy-AM"/>
        </w:rPr>
        <w:fldChar w:fldCharType="end"/>
      </w:r>
      <w:r>
        <w:rPr>
          <w:lang w:val="hy-AM"/>
        </w:rPr>
        <w:t>, էջ 52:</w:t>
      </w:r>
    </w:p>
  </w:footnote>
  <w:footnote w:id="22">
    <w:p w14:paraId="58D8E27F" w14:textId="5D4EE5CA" w:rsidR="00A63C73" w:rsidRPr="0037114A" w:rsidRDefault="00A63C73" w:rsidP="002D0EC3">
      <w:pPr>
        <w:pStyle w:val="FootnoteText"/>
        <w:ind w:firstLine="0"/>
        <w:rPr>
          <w:lang w:val="hy-AM"/>
        </w:rPr>
      </w:pPr>
      <w:r>
        <w:rPr>
          <w:rStyle w:val="FootnoteReference"/>
        </w:rPr>
        <w:footnoteRef/>
      </w:r>
      <w:r w:rsidRPr="00186240">
        <w:rPr>
          <w:lang w:val="hy-AM"/>
        </w:rPr>
        <w:t xml:space="preserve"> </w:t>
      </w:r>
      <w:r>
        <w:rPr>
          <w:lang w:val="hy-AM"/>
        </w:rPr>
        <w:t xml:space="preserve">Հետազոտության մեջ </w:t>
      </w:r>
      <w:r w:rsidRPr="00186240">
        <w:rPr>
          <w:lang w:val="hy-AM"/>
        </w:rPr>
        <w:t>«</w:t>
      </w:r>
      <w:r>
        <w:rPr>
          <w:lang w:val="hy-AM"/>
        </w:rPr>
        <w:t>բ</w:t>
      </w:r>
      <w:r w:rsidRPr="00186240">
        <w:rPr>
          <w:lang w:val="hy-AM"/>
        </w:rPr>
        <w:t>արձր տեխնոլոգիաներ»</w:t>
      </w:r>
      <w:r>
        <w:rPr>
          <w:lang w:val="hy-AM"/>
        </w:rPr>
        <w:t xml:space="preserve"> </w:t>
      </w:r>
      <w:r w:rsidRPr="008D325C">
        <w:rPr>
          <w:lang w:val="hy-AM"/>
        </w:rPr>
        <w:t xml:space="preserve">եզրույթի </w:t>
      </w:r>
      <w:r>
        <w:rPr>
          <w:lang w:val="hy-AM"/>
        </w:rPr>
        <w:t>ներքո շեշտադրված է</w:t>
      </w:r>
      <w:r w:rsidRPr="00186240">
        <w:rPr>
          <w:lang w:val="hy-AM"/>
        </w:rPr>
        <w:t xml:space="preserve"> տեղեկատվական և հաղորդակցության տեխնոլոգիաների (ՏՀՏ) ոլորտը:</w:t>
      </w:r>
      <w:r>
        <w:rPr>
          <w:lang w:val="hy-AM"/>
        </w:rPr>
        <w:t xml:space="preserve"> Տեղեկատվության հավաքագրումը կատարվել է ՀՀ ՎԿ կողմից </w:t>
      </w:r>
      <w:r w:rsidRPr="000E2824">
        <w:rPr>
          <w:lang w:val="hy-AM"/>
        </w:rPr>
        <w:t>ՏՀՏ վիճակագրության վարման մեթոդաբանական հիմքեր</w:t>
      </w:r>
      <w:r>
        <w:rPr>
          <w:lang w:val="hy-AM"/>
        </w:rPr>
        <w:t>ի համաձայն: Արդյուն</w:t>
      </w:r>
      <w:r w:rsidRPr="008D325C">
        <w:rPr>
          <w:lang w:val="hy-AM"/>
        </w:rPr>
        <w:t>աբ</w:t>
      </w:r>
      <w:r>
        <w:rPr>
          <w:lang w:val="hy-AM"/>
        </w:rPr>
        <w:t>երության ճյուղում առանձնացվում է</w:t>
      </w:r>
      <w:r w:rsidRPr="00186240">
        <w:rPr>
          <w:lang w:val="hy-AM"/>
        </w:rPr>
        <w:t xml:space="preserve"> մշակող արդյունաբերության «Համակարգիչների, էլեկտր</w:t>
      </w:r>
      <w:r w:rsidRPr="008D325C">
        <w:rPr>
          <w:lang w:val="hy-AM"/>
        </w:rPr>
        <w:t>ոն</w:t>
      </w:r>
      <w:r w:rsidRPr="00186240">
        <w:rPr>
          <w:lang w:val="hy-AM"/>
        </w:rPr>
        <w:t>ային և օպտիկական սարքավորանքի արտադրություն» ենթաճյուղ</w:t>
      </w:r>
      <w:r>
        <w:rPr>
          <w:lang w:val="hy-AM"/>
        </w:rPr>
        <w:t>ը</w:t>
      </w:r>
      <w:r w:rsidRPr="00186240">
        <w:rPr>
          <w:lang w:val="hy-AM"/>
        </w:rPr>
        <w:t>:</w:t>
      </w:r>
      <w:r w:rsidRPr="008F5026">
        <w:rPr>
          <w:lang w:val="hy-AM"/>
        </w:rPr>
        <w:t xml:space="preserve"> Ծ</w:t>
      </w:r>
      <w:r w:rsidRPr="00186240">
        <w:rPr>
          <w:lang w:val="hy-AM"/>
        </w:rPr>
        <w:t xml:space="preserve">առայությունների </w:t>
      </w:r>
      <w:r>
        <w:rPr>
          <w:lang w:val="hy-AM"/>
        </w:rPr>
        <w:t xml:space="preserve">ճյուղում առանձնացվում է </w:t>
      </w:r>
      <w:r w:rsidRPr="00186240">
        <w:rPr>
          <w:lang w:val="hy-AM"/>
        </w:rPr>
        <w:t>«Տեղեկատվություն և կապ» ենթաճյուղի «Տեղեկատվական տեխնոլոգիաներ» ուղղությ</w:t>
      </w:r>
      <w:r>
        <w:rPr>
          <w:lang w:val="hy-AM"/>
        </w:rPr>
        <w:t>ու</w:t>
      </w:r>
      <w:r w:rsidRPr="00186240">
        <w:rPr>
          <w:lang w:val="hy-AM"/>
        </w:rPr>
        <w:t>նը</w:t>
      </w:r>
      <w:r>
        <w:rPr>
          <w:lang w:val="hy-AM"/>
        </w:rPr>
        <w:t xml:space="preserve">: </w:t>
      </w:r>
    </w:p>
  </w:footnote>
  <w:footnote w:id="23">
    <w:p w14:paraId="13761707" w14:textId="77777777" w:rsidR="00A63C73" w:rsidRPr="002D0EC3" w:rsidRDefault="00A63C73" w:rsidP="00675E29">
      <w:pPr>
        <w:pStyle w:val="FootnoteText"/>
        <w:ind w:firstLine="0"/>
        <w:rPr>
          <w:lang w:val="hy-AM"/>
        </w:rPr>
      </w:pPr>
      <w:r>
        <w:rPr>
          <w:rStyle w:val="FootnoteReference"/>
        </w:rPr>
        <w:footnoteRef/>
      </w:r>
      <w:r w:rsidRPr="00186240">
        <w:rPr>
          <w:lang w:val="hy-AM"/>
        </w:rPr>
        <w:t xml:space="preserve"> </w:t>
      </w:r>
      <w:r>
        <w:rPr>
          <w:lang w:val="hy-AM"/>
        </w:rPr>
        <w:t>Աղբյուրը` ՀՀ ՎԿ տվյալների շտեմարան:</w:t>
      </w:r>
    </w:p>
  </w:footnote>
  <w:footnote w:id="24">
    <w:p w14:paraId="3558C4BB" w14:textId="2AED4BE0" w:rsidR="00A63C73" w:rsidRPr="008F5026" w:rsidRDefault="00A63C73" w:rsidP="00754084">
      <w:pPr>
        <w:pStyle w:val="FootnoteText"/>
        <w:ind w:firstLine="0"/>
        <w:rPr>
          <w:lang w:val="hy-AM"/>
        </w:rPr>
      </w:pPr>
      <w:r>
        <w:rPr>
          <w:rStyle w:val="FootnoteReference"/>
        </w:rPr>
        <w:footnoteRef/>
      </w:r>
      <w:r w:rsidRPr="00186240">
        <w:rPr>
          <w:lang w:val="hy-AM"/>
        </w:rPr>
        <w:t xml:space="preserve"> </w:t>
      </w:r>
      <w:r>
        <w:rPr>
          <w:lang w:val="hy-AM"/>
        </w:rPr>
        <w:t>Աղբյուրը` ՀՀ ՎԿ տվյալների շտեմարան:</w:t>
      </w:r>
    </w:p>
  </w:footnote>
  <w:footnote w:id="25">
    <w:p w14:paraId="345E28CE" w14:textId="77777777" w:rsidR="00A63C73" w:rsidRPr="00186240" w:rsidRDefault="00A63C73" w:rsidP="00DE78A4">
      <w:pPr>
        <w:pStyle w:val="FootnoteText"/>
        <w:ind w:firstLine="0"/>
        <w:rPr>
          <w:lang w:val="hy-AM"/>
        </w:rPr>
      </w:pPr>
      <w:r>
        <w:rPr>
          <w:rStyle w:val="FootnoteReference"/>
        </w:rPr>
        <w:footnoteRef/>
      </w:r>
      <w:r w:rsidRPr="00186240">
        <w:rPr>
          <w:lang w:val="hy-AM"/>
        </w:rPr>
        <w:t xml:space="preserve"> </w:t>
      </w:r>
      <w:r>
        <w:rPr>
          <w:lang w:val="hy-AM"/>
        </w:rPr>
        <w:t xml:space="preserve">Աղբյուրը` ՀՀ ՎԿ տվյալների շտեմարան: Հաշվարկները կատարված են շղթայակապ ինդեքսների հիմքով, 2015թ. </w:t>
      </w:r>
      <w:r w:rsidRPr="00186240">
        <w:rPr>
          <w:lang w:val="hy-AM"/>
        </w:rPr>
        <w:t xml:space="preserve">= 100: </w:t>
      </w:r>
    </w:p>
  </w:footnote>
  <w:footnote w:id="26">
    <w:p w14:paraId="2D3953F4" w14:textId="27AD2A63" w:rsidR="00A63C73" w:rsidRPr="008F5026" w:rsidRDefault="00A63C73" w:rsidP="0015062E">
      <w:pPr>
        <w:pStyle w:val="FootnoteText"/>
        <w:ind w:firstLine="0"/>
        <w:rPr>
          <w:lang w:val="hy-AM"/>
        </w:rPr>
      </w:pPr>
      <w:r>
        <w:rPr>
          <w:rStyle w:val="FootnoteReference"/>
        </w:rPr>
        <w:footnoteRef/>
      </w:r>
      <w:r w:rsidRPr="00186240">
        <w:rPr>
          <w:lang w:val="hy-AM"/>
        </w:rPr>
        <w:t xml:space="preserve"> </w:t>
      </w:r>
      <w:r>
        <w:rPr>
          <w:lang w:val="hy-AM"/>
        </w:rPr>
        <w:t>Աղբյուրը` ՀՀ ՎԿ տվյալների շտեմարան:</w:t>
      </w:r>
    </w:p>
  </w:footnote>
  <w:footnote w:id="27">
    <w:p w14:paraId="1D3DB6A0" w14:textId="77777777" w:rsidR="00A63C73" w:rsidRPr="006C0B5F" w:rsidRDefault="00A63C73" w:rsidP="00231D0D">
      <w:pPr>
        <w:pStyle w:val="FootnoteText"/>
        <w:ind w:firstLine="0"/>
        <w:rPr>
          <w:lang w:val="hy-AM"/>
        </w:rPr>
      </w:pPr>
      <w:r>
        <w:rPr>
          <w:rStyle w:val="FootnoteReference"/>
        </w:rPr>
        <w:footnoteRef/>
      </w:r>
      <w:r w:rsidRPr="00186240">
        <w:rPr>
          <w:lang w:val="hy-AM"/>
        </w:rPr>
        <w:t xml:space="preserve"> </w:t>
      </w:r>
      <w:r w:rsidR="00C8772C">
        <w:fldChar w:fldCharType="begin"/>
      </w:r>
      <w:r w:rsidR="00C8772C" w:rsidRPr="00D00797">
        <w:rPr>
          <w:lang w:val="hy-AM"/>
        </w:rPr>
        <w:instrText xml:space="preserve"> HYPERLINK "https://news.am/arm/news/653780.html" </w:instrText>
      </w:r>
      <w:r w:rsidR="00C8772C">
        <w:fldChar w:fldCharType="separate"/>
      </w:r>
      <w:r w:rsidRPr="00186240">
        <w:rPr>
          <w:rStyle w:val="Hyperlink"/>
          <w:lang w:val="hy-AM"/>
        </w:rPr>
        <w:t>https://news.am/arm/news/653780.html</w:t>
      </w:r>
      <w:r w:rsidR="00C8772C">
        <w:rPr>
          <w:rStyle w:val="Hyperlink"/>
          <w:lang w:val="hy-AM"/>
        </w:rPr>
        <w:fldChar w:fldCharType="end"/>
      </w:r>
      <w:r>
        <w:rPr>
          <w:lang w:val="hy-AM"/>
        </w:rPr>
        <w:t>:</w:t>
      </w:r>
    </w:p>
  </w:footnote>
  <w:footnote w:id="28">
    <w:p w14:paraId="720190AE" w14:textId="77777777" w:rsidR="00A63C73" w:rsidRPr="002D0EC3" w:rsidRDefault="00A63C73" w:rsidP="00F04875">
      <w:pPr>
        <w:pStyle w:val="FootnoteText"/>
        <w:ind w:firstLine="0"/>
        <w:rPr>
          <w:lang w:val="hy-AM"/>
        </w:rPr>
      </w:pPr>
      <w:r>
        <w:rPr>
          <w:rStyle w:val="FootnoteReference"/>
        </w:rPr>
        <w:footnoteRef/>
      </w:r>
      <w:r w:rsidRPr="00186240">
        <w:rPr>
          <w:lang w:val="hy-AM"/>
        </w:rPr>
        <w:t xml:space="preserve"> </w:t>
      </w:r>
      <w:r>
        <w:rPr>
          <w:lang w:val="hy-AM"/>
        </w:rPr>
        <w:t xml:space="preserve">Աղբյուրը` ՀՀ ՎԿ տվյալների շտեմարան: Հաշվարկները կատարված են շղթայակապ ինդեքսների հիմքով, 2015թ. </w:t>
      </w:r>
      <w:r w:rsidRPr="00186240">
        <w:rPr>
          <w:lang w:val="hy-AM"/>
        </w:rPr>
        <w:t>= 100:</w:t>
      </w:r>
    </w:p>
  </w:footnote>
  <w:footnote w:id="29">
    <w:p w14:paraId="3A30C0F1" w14:textId="60C2AE45" w:rsidR="00A63C73" w:rsidRPr="008F5026" w:rsidRDefault="00A63C73" w:rsidP="00846E2C">
      <w:pPr>
        <w:pStyle w:val="FootnoteText"/>
        <w:ind w:firstLine="0"/>
        <w:rPr>
          <w:lang w:val="hy-AM"/>
        </w:rPr>
      </w:pPr>
      <w:r>
        <w:rPr>
          <w:rStyle w:val="FootnoteReference"/>
        </w:rPr>
        <w:footnoteRef/>
      </w:r>
      <w:r w:rsidRPr="00186240">
        <w:rPr>
          <w:lang w:val="hy-AM"/>
        </w:rPr>
        <w:t xml:space="preserve"> </w:t>
      </w:r>
      <w:hyperlink r:id="rId2" w:history="1">
        <w:r w:rsidRPr="00186240">
          <w:rPr>
            <w:rStyle w:val="Hyperlink"/>
            <w:lang w:val="hy-AM"/>
          </w:rPr>
          <w:t>https://armenpress.am/arm/news/1055477.html</w:t>
        </w:r>
      </w:hyperlink>
      <w:r>
        <w:rPr>
          <w:lang w:val="hy-AM"/>
        </w:rPr>
        <w:t>:</w:t>
      </w:r>
    </w:p>
  </w:footnote>
  <w:footnote w:id="30">
    <w:p w14:paraId="1E1D0049" w14:textId="42F2E9D4" w:rsidR="00A63C73" w:rsidRPr="008F5026" w:rsidRDefault="00A63C73" w:rsidP="001627CD">
      <w:pPr>
        <w:pStyle w:val="FootnoteText"/>
        <w:ind w:firstLine="0"/>
        <w:rPr>
          <w:lang w:val="hy-AM"/>
        </w:rPr>
      </w:pPr>
      <w:r>
        <w:rPr>
          <w:rStyle w:val="FootnoteReference"/>
        </w:rPr>
        <w:footnoteRef/>
      </w:r>
      <w:r w:rsidRPr="00186240">
        <w:rPr>
          <w:lang w:val="hy-AM"/>
        </w:rPr>
        <w:t xml:space="preserve"> </w:t>
      </w:r>
      <w:r>
        <w:rPr>
          <w:lang w:val="hy-AM"/>
        </w:rPr>
        <w:t>2021-2022թթ. կանխատեսումները` համաձայն ՀՀ 2022թ. պետական բյուջեի նախագծի, իսկ 2023-2024թթ. կանխատեսումները` ՀՀ կառավարության 2022-2024թթ. ՄԺԾԾ-ի:</w:t>
      </w:r>
    </w:p>
  </w:footnote>
  <w:footnote w:id="31">
    <w:p w14:paraId="0C953F8D" w14:textId="77777777" w:rsidR="00A63C73" w:rsidRPr="00031925" w:rsidRDefault="00A63C73" w:rsidP="00D749A7">
      <w:pPr>
        <w:pStyle w:val="FootnoteText"/>
        <w:ind w:firstLine="0"/>
        <w:rPr>
          <w:lang w:val="hy-AM"/>
        </w:rPr>
      </w:pPr>
      <w:r>
        <w:rPr>
          <w:rStyle w:val="FootnoteReference"/>
        </w:rPr>
        <w:footnoteRef/>
      </w:r>
      <w:r w:rsidRPr="00186240">
        <w:rPr>
          <w:lang w:val="hy-AM"/>
        </w:rPr>
        <w:t xml:space="preserve"> </w:t>
      </w:r>
      <w:r>
        <w:rPr>
          <w:lang w:val="hy-AM"/>
        </w:rPr>
        <w:t>Տվյալը հաշվարկված է ՀՀ ՎԿ 2019թ. վերանայված մեթոդաբանությամբ:</w:t>
      </w:r>
    </w:p>
  </w:footnote>
  <w:footnote w:id="32">
    <w:p w14:paraId="54B3A99C" w14:textId="77777777" w:rsidR="00A63C73" w:rsidRPr="00031925" w:rsidRDefault="00A63C73" w:rsidP="00D749A7">
      <w:pPr>
        <w:pStyle w:val="FootnoteText"/>
        <w:ind w:firstLine="0"/>
        <w:rPr>
          <w:lang w:val="hy-AM"/>
        </w:rPr>
      </w:pPr>
      <w:r>
        <w:rPr>
          <w:rStyle w:val="FootnoteReference"/>
        </w:rPr>
        <w:footnoteRef/>
      </w:r>
      <w:r w:rsidRPr="00186240">
        <w:rPr>
          <w:lang w:val="hy-AM"/>
        </w:rPr>
        <w:t xml:space="preserve"> </w:t>
      </w:r>
      <w:r>
        <w:rPr>
          <w:lang w:val="hy-AM"/>
        </w:rPr>
        <w:t>Ցուցանիշի տվյալները ՀՀ ՎԿ 2019թ. մեթոդաբանական փոփոխությունների արդյունքում չեն փոփոխվել:</w:t>
      </w:r>
    </w:p>
  </w:footnote>
  <w:footnote w:id="33">
    <w:p w14:paraId="0B7EB804" w14:textId="644AA84C" w:rsidR="00A63C73" w:rsidRPr="00FC3D63" w:rsidRDefault="00A63C73" w:rsidP="00D749A7">
      <w:pPr>
        <w:pStyle w:val="FootnoteText"/>
        <w:ind w:firstLine="0"/>
        <w:rPr>
          <w:lang w:val="hy-AM"/>
        </w:rPr>
      </w:pPr>
      <w:r>
        <w:rPr>
          <w:rStyle w:val="FootnoteReference"/>
        </w:rPr>
        <w:footnoteRef/>
      </w:r>
      <w:r w:rsidRPr="00186240">
        <w:rPr>
          <w:sz w:val="18"/>
          <w:lang w:val="hy-AM"/>
        </w:rPr>
        <w:t xml:space="preserve"> </w:t>
      </w:r>
      <w:r w:rsidRPr="002B5B9B">
        <w:rPr>
          <w:lang w:val="hy-AM"/>
        </w:rPr>
        <w:t>Ա</w:t>
      </w:r>
      <w:r w:rsidRPr="00186240">
        <w:rPr>
          <w:lang w:val="hy-AM"/>
        </w:rPr>
        <w:t>ղքատության մակարդակ</w:t>
      </w:r>
      <w:r>
        <w:rPr>
          <w:lang w:val="hy-AM"/>
        </w:rPr>
        <w:t>ի</w:t>
      </w:r>
      <w:r w:rsidRPr="002B5B9B">
        <w:rPr>
          <w:lang w:val="hy-AM"/>
        </w:rPr>
        <w:t xml:space="preserve"> </w:t>
      </w:r>
      <w:r w:rsidRPr="00186240">
        <w:rPr>
          <w:lang w:val="hy-AM"/>
        </w:rPr>
        <w:t>հաշվարկ</w:t>
      </w:r>
      <w:r w:rsidRPr="002B5B9B">
        <w:rPr>
          <w:lang w:val="hy-AM"/>
        </w:rPr>
        <w:t>ման հիմքում ընկած է բնակչության այն մասը, որն ապրում է օրական 5.5</w:t>
      </w:r>
      <w:r w:rsidRPr="00186240">
        <w:rPr>
          <w:lang w:val="hy-AM"/>
        </w:rPr>
        <w:t xml:space="preserve"> </w:t>
      </w:r>
      <w:r w:rsidRPr="002B5B9B">
        <w:rPr>
          <w:lang w:val="hy-AM"/>
        </w:rPr>
        <w:t xml:space="preserve">ԱՄՆ դոլարից </w:t>
      </w:r>
      <w:r w:rsidRPr="00186240">
        <w:rPr>
          <w:lang w:val="hy-AM"/>
        </w:rPr>
        <w:t>(</w:t>
      </w:r>
      <w:r w:rsidRPr="002B5B9B">
        <w:rPr>
          <w:lang w:val="hy-AM"/>
        </w:rPr>
        <w:t>2011թ. համադրելի գներով</w:t>
      </w:r>
      <w:r w:rsidRPr="00186240">
        <w:rPr>
          <w:lang w:val="hy-AM"/>
        </w:rPr>
        <w:t>)</w:t>
      </w:r>
      <w:r w:rsidRPr="002B5B9B">
        <w:rPr>
          <w:lang w:val="hy-AM"/>
        </w:rPr>
        <w:t xml:space="preserve"> ցածր եկամտով:</w:t>
      </w:r>
    </w:p>
  </w:footnote>
  <w:footnote w:id="34">
    <w:p w14:paraId="17662BFA" w14:textId="36D26D25" w:rsidR="00A63C73" w:rsidRPr="006A6362" w:rsidRDefault="00A63C73" w:rsidP="00D749A7">
      <w:pPr>
        <w:pStyle w:val="FootnoteText"/>
        <w:ind w:firstLine="0"/>
        <w:rPr>
          <w:lang w:val="hy-AM"/>
        </w:rPr>
      </w:pPr>
      <w:r>
        <w:rPr>
          <w:rStyle w:val="FootnoteReference"/>
        </w:rPr>
        <w:footnoteRef/>
      </w:r>
      <w:r w:rsidRPr="00186240">
        <w:rPr>
          <w:lang w:val="hy-AM"/>
        </w:rPr>
        <w:t xml:space="preserve"> </w:t>
      </w:r>
      <w:r>
        <w:rPr>
          <w:lang w:val="hy-AM"/>
        </w:rPr>
        <w:t>Գործակիցը տատանվում է 0-ից 1-ի միջակայքում, որտեղ 0-ն ենթադրում է եկամուտների կատարյալ հավասարաչափ բաշխում, իսկ 1-ը` ծայրահեղ անհավասարաչափ բաշխում:</w:t>
      </w:r>
    </w:p>
  </w:footnote>
  <w:footnote w:id="35">
    <w:p w14:paraId="4688255F" w14:textId="77777777" w:rsidR="00A63C73" w:rsidRPr="008B0248" w:rsidRDefault="00A63C73" w:rsidP="00D749A7">
      <w:pPr>
        <w:pStyle w:val="FootnoteText"/>
        <w:ind w:firstLine="0"/>
        <w:rPr>
          <w:lang w:val="hy-AM"/>
        </w:rPr>
      </w:pPr>
      <w:r>
        <w:rPr>
          <w:rStyle w:val="FootnoteReference"/>
        </w:rPr>
        <w:footnoteRef/>
      </w:r>
      <w:r w:rsidRPr="00186240">
        <w:rPr>
          <w:lang w:val="hy-AM"/>
        </w:rPr>
        <w:t xml:space="preserve"> </w:t>
      </w:r>
      <w:r>
        <w:rPr>
          <w:lang w:val="hy-AM"/>
        </w:rPr>
        <w:t>Դեղին սյունակներում ներկայացված տվյալները` համաձայն ՀՀ ՎԿ 2019թ. վերանայված մեթոդաբանության: Մեթոդաբանական փոփոխությունների արդյունքում նշված տվյալները համադրելի չեն նախորդ տարիների տվյալների հետ:</w:t>
      </w:r>
    </w:p>
  </w:footnote>
  <w:footnote w:id="36">
    <w:p w14:paraId="700E75AA" w14:textId="3AE8F7BC" w:rsidR="00A63C73" w:rsidRPr="009F3207" w:rsidRDefault="00A63C73" w:rsidP="00D749A7">
      <w:pPr>
        <w:pStyle w:val="FootnoteText"/>
        <w:ind w:firstLine="0"/>
        <w:rPr>
          <w:lang w:val="hy-AM"/>
        </w:rPr>
      </w:pPr>
      <w:r>
        <w:rPr>
          <w:rStyle w:val="FootnoteReference"/>
        </w:rPr>
        <w:footnoteRef/>
      </w:r>
      <w:r w:rsidRPr="00186240">
        <w:rPr>
          <w:lang w:val="hy-AM"/>
        </w:rPr>
        <w:t xml:space="preserve"> 2018-2019</w:t>
      </w:r>
      <w:r>
        <w:rPr>
          <w:lang w:val="hy-AM"/>
        </w:rPr>
        <w:t xml:space="preserve">թթ. ՀՀ աշխատաշուկայի վերաբերյալ առավել մանրամասն` «Լույս» հիմնադրամի վերլուծության մեջ, </w:t>
      </w:r>
      <w:r w:rsidR="00C8772C">
        <w:fldChar w:fldCharType="begin"/>
      </w:r>
      <w:r w:rsidR="00C8772C" w:rsidRPr="00D00797">
        <w:rPr>
          <w:lang w:val="hy-AM"/>
        </w:rPr>
        <w:instrText xml:space="preserve"> HYPERLINK "https://bit.ly/2ZLHB2N" </w:instrText>
      </w:r>
      <w:r w:rsidR="00C8772C">
        <w:fldChar w:fldCharType="separate"/>
      </w:r>
      <w:r w:rsidRPr="00D65C75">
        <w:rPr>
          <w:rStyle w:val="Hyperlink"/>
          <w:lang w:val="hy-AM"/>
        </w:rPr>
        <w:t>https://bit.ly/2ZLHB2N</w:t>
      </w:r>
      <w:r w:rsidR="00C8772C">
        <w:rPr>
          <w:rStyle w:val="Hyperlink"/>
          <w:lang w:val="hy-AM"/>
        </w:rPr>
        <w:fldChar w:fldCharType="end"/>
      </w:r>
      <w:r>
        <w:rPr>
          <w:lang w:val="hy-AM"/>
        </w:rPr>
        <w:t>:</w:t>
      </w:r>
    </w:p>
  </w:footnote>
  <w:footnote w:id="37">
    <w:p w14:paraId="7BBCB845" w14:textId="46579BDD" w:rsidR="00A63C73" w:rsidRPr="002D0EC3" w:rsidRDefault="00A63C73" w:rsidP="000D095A">
      <w:pPr>
        <w:pStyle w:val="FootnoteText"/>
        <w:ind w:firstLine="0"/>
        <w:rPr>
          <w:lang w:val="hy-AM"/>
        </w:rPr>
      </w:pPr>
      <w:r>
        <w:rPr>
          <w:rStyle w:val="FootnoteReference"/>
        </w:rPr>
        <w:footnoteRef/>
      </w:r>
      <w:r w:rsidRPr="00186240">
        <w:rPr>
          <w:lang w:val="hy-AM"/>
        </w:rPr>
        <w:t xml:space="preserve"> </w:t>
      </w:r>
      <w:r>
        <w:rPr>
          <w:lang w:val="hy-AM"/>
        </w:rPr>
        <w:t xml:space="preserve">Աղբյուրը` ՀՀ ՎԿ, </w:t>
      </w:r>
      <w:r w:rsidRPr="000D095A">
        <w:rPr>
          <w:lang w:val="hy-AM"/>
        </w:rPr>
        <w:t>Հայաստանի վիճակագրական տարեգիրք</w:t>
      </w:r>
      <w:r>
        <w:rPr>
          <w:lang w:val="hy-AM"/>
        </w:rPr>
        <w:t xml:space="preserve">, 2020, էջ 131, </w:t>
      </w:r>
      <w:r w:rsidR="00C8772C">
        <w:fldChar w:fldCharType="begin"/>
      </w:r>
      <w:r w:rsidR="00C8772C" w:rsidRPr="00D00797">
        <w:rPr>
          <w:lang w:val="hy-AM"/>
        </w:rPr>
        <w:instrText xml:space="preserve"> HYPERLINK "https://www.armstat.am/file/doc/99521168.pdf" </w:instrText>
      </w:r>
      <w:r w:rsidR="00C8772C">
        <w:fldChar w:fldCharType="separate"/>
      </w:r>
      <w:r w:rsidRPr="00BE676A">
        <w:rPr>
          <w:rStyle w:val="Hyperlink"/>
          <w:lang w:val="hy-AM"/>
        </w:rPr>
        <w:t>https://www.armstat.am/file/doc/99521168.pdf</w:t>
      </w:r>
      <w:r w:rsidR="00C8772C">
        <w:rPr>
          <w:rStyle w:val="Hyperlink"/>
          <w:lang w:val="hy-AM"/>
        </w:rPr>
        <w:fldChar w:fldCharType="end"/>
      </w:r>
      <w:r>
        <w:rPr>
          <w:lang w:val="hy-AM"/>
        </w:rPr>
        <w:t>:</w:t>
      </w:r>
    </w:p>
  </w:footnote>
  <w:footnote w:id="38">
    <w:p w14:paraId="6CBDE604" w14:textId="543209DE" w:rsidR="00A63C73" w:rsidRPr="008F5026" w:rsidRDefault="00A63C73" w:rsidP="00613549">
      <w:pPr>
        <w:pStyle w:val="FootnoteText"/>
        <w:ind w:firstLine="0"/>
        <w:rPr>
          <w:lang w:val="hy-AM"/>
        </w:rPr>
      </w:pPr>
      <w:r>
        <w:rPr>
          <w:rStyle w:val="FootnoteReference"/>
        </w:rPr>
        <w:footnoteRef/>
      </w:r>
      <w:r w:rsidRPr="00186240">
        <w:rPr>
          <w:lang w:val="hy-AM"/>
        </w:rPr>
        <w:t xml:space="preserve"> </w:t>
      </w:r>
      <w:r>
        <w:rPr>
          <w:lang w:val="hy-AM"/>
        </w:rPr>
        <w:t>Աղբյուրը` ՀՀ ՎԿ տվյալների շտեմարան:</w:t>
      </w:r>
    </w:p>
  </w:footnote>
  <w:footnote w:id="39">
    <w:p w14:paraId="35303E6E" w14:textId="5200470F" w:rsidR="00A63C73" w:rsidRPr="008F5026" w:rsidRDefault="00A63C73" w:rsidP="00153363">
      <w:pPr>
        <w:pStyle w:val="FootnoteText"/>
        <w:ind w:firstLine="0"/>
        <w:rPr>
          <w:lang w:val="hy-AM"/>
        </w:rPr>
      </w:pPr>
      <w:r>
        <w:rPr>
          <w:rStyle w:val="FootnoteReference"/>
        </w:rPr>
        <w:footnoteRef/>
      </w:r>
      <w:r w:rsidRPr="00186240">
        <w:rPr>
          <w:lang w:val="hy-AM"/>
        </w:rPr>
        <w:t xml:space="preserve"> </w:t>
      </w:r>
      <w:r>
        <w:rPr>
          <w:lang w:val="hy-AM"/>
        </w:rPr>
        <w:t>Ներկայացված են ՀՀ ՎԿ կողմից հրապարակված նախնական գնահատականները</w:t>
      </w:r>
      <w:r w:rsidRPr="008D325C">
        <w:rPr>
          <w:lang w:val="hy-AM"/>
        </w:rPr>
        <w:t>,</w:t>
      </w:r>
      <w:r>
        <w:rPr>
          <w:lang w:val="hy-AM"/>
        </w:rPr>
        <w:t xml:space="preserve"> </w:t>
      </w:r>
      <w:r w:rsidR="00C8772C">
        <w:fldChar w:fldCharType="begin"/>
      </w:r>
      <w:r w:rsidR="00C8772C" w:rsidRPr="00D00797">
        <w:rPr>
          <w:lang w:val="hy-AM"/>
        </w:rPr>
        <w:instrText xml:space="preserve"> HYPERLINK "https://www.armstat.am/file/article/sv_09_21a_142_.pdf" </w:instrText>
      </w:r>
      <w:r w:rsidR="00C8772C">
        <w:fldChar w:fldCharType="separate"/>
      </w:r>
      <w:r w:rsidRPr="007535FD">
        <w:rPr>
          <w:rStyle w:val="Hyperlink"/>
          <w:lang w:val="hy-AM"/>
        </w:rPr>
        <w:t>https://www.armstat.am/file/article/sv_09_21a_142_.pdf</w:t>
      </w:r>
      <w:r w:rsidR="00C8772C">
        <w:rPr>
          <w:rStyle w:val="Hyperlink"/>
          <w:lang w:val="hy-AM"/>
        </w:rPr>
        <w:fldChar w:fldCharType="end"/>
      </w:r>
      <w:r>
        <w:rPr>
          <w:lang w:val="hy-AM"/>
        </w:rPr>
        <w:t xml:space="preserve">, էջ 9 </w:t>
      </w:r>
      <w:r w:rsidRPr="00186240">
        <w:rPr>
          <w:lang w:val="hy-AM"/>
        </w:rPr>
        <w:t>(</w:t>
      </w:r>
      <w:r>
        <w:rPr>
          <w:lang w:val="hy-AM"/>
        </w:rPr>
        <w:t>այցելվել է 10.11.2021թ.</w:t>
      </w:r>
      <w:r w:rsidRPr="00186240">
        <w:rPr>
          <w:lang w:val="hy-AM"/>
        </w:rPr>
        <w:t>)</w:t>
      </w:r>
      <w:r>
        <w:rPr>
          <w:lang w:val="hy-AM"/>
        </w:rPr>
        <w:t xml:space="preserve">: </w:t>
      </w:r>
    </w:p>
  </w:footnote>
  <w:footnote w:id="40">
    <w:p w14:paraId="22C7CD2A" w14:textId="6FB2F9DD" w:rsidR="00A63C73" w:rsidRPr="002D0EC3" w:rsidRDefault="00A63C73" w:rsidP="0041436F">
      <w:pPr>
        <w:pStyle w:val="FootnoteText"/>
        <w:ind w:firstLine="0"/>
        <w:rPr>
          <w:lang w:val="hy-AM"/>
        </w:rPr>
      </w:pPr>
      <w:r>
        <w:rPr>
          <w:rStyle w:val="FootnoteReference"/>
        </w:rPr>
        <w:footnoteRef/>
      </w:r>
      <w:r w:rsidRPr="00186240">
        <w:rPr>
          <w:lang w:val="hy-AM"/>
        </w:rPr>
        <w:t xml:space="preserve"> </w:t>
      </w:r>
      <w:r>
        <w:rPr>
          <w:lang w:val="hy-AM"/>
        </w:rPr>
        <w:t>Աշխատուժի արտադրողականությունը գնահատված է որպես մեկ աշխատողին բաժին հասնող ՀՆԱ` ԱՄՆ դոլարով</w:t>
      </w:r>
      <w:r w:rsidRPr="008D325C">
        <w:rPr>
          <w:lang w:val="hy-AM"/>
        </w:rPr>
        <w:t>,</w:t>
      </w:r>
      <w:r>
        <w:rPr>
          <w:lang w:val="hy-AM"/>
        </w:rPr>
        <w:t xml:space="preserve"> հաշվարկված 2010թ. հաստատուն գներով:</w:t>
      </w:r>
    </w:p>
  </w:footnote>
  <w:footnote w:id="41">
    <w:p w14:paraId="11EE8979" w14:textId="4028974F" w:rsidR="00A63C73" w:rsidRPr="008F5026" w:rsidRDefault="00A63C73" w:rsidP="00C117AF">
      <w:pPr>
        <w:pStyle w:val="FootnoteText"/>
        <w:ind w:firstLine="0"/>
        <w:rPr>
          <w:lang w:val="hy-AM"/>
        </w:rPr>
      </w:pPr>
      <w:r>
        <w:rPr>
          <w:rStyle w:val="FootnoteReference"/>
        </w:rPr>
        <w:footnoteRef/>
      </w:r>
      <w:r w:rsidRPr="00186240">
        <w:rPr>
          <w:lang w:val="hy-AM"/>
        </w:rPr>
        <w:t xml:space="preserve"> </w:t>
      </w:r>
      <w:r>
        <w:rPr>
          <w:lang w:val="hy-AM"/>
        </w:rPr>
        <w:t>Ներկայացված են հեղինակային հաշվարկները: Անվանական աշխատավարձերը ճշգրտվել են 2021թ. հունվար-սեպտեմբերը 2020թ. հունվար</w:t>
      </w:r>
      <w:r w:rsidRPr="008D325C">
        <w:rPr>
          <w:lang w:val="hy-AM"/>
        </w:rPr>
        <w:t>-</w:t>
      </w:r>
      <w:r>
        <w:rPr>
          <w:lang w:val="hy-AM"/>
        </w:rPr>
        <w:t>սեպտեմբերի համեմատ կուտակային գնաճի 6.7</w:t>
      </w:r>
      <w:r w:rsidRPr="00186240">
        <w:rPr>
          <w:lang w:val="hy-AM"/>
        </w:rPr>
        <w:t>%</w:t>
      </w:r>
      <w:r>
        <w:rPr>
          <w:lang w:val="hy-AM"/>
        </w:rPr>
        <w:t xml:space="preserve"> ցուցանիշով:</w:t>
      </w:r>
    </w:p>
  </w:footnote>
  <w:footnote w:id="42">
    <w:p w14:paraId="7162305F" w14:textId="599CA232" w:rsidR="00A63C73" w:rsidRPr="008F5026" w:rsidRDefault="00A63C73" w:rsidP="009D27BA">
      <w:pPr>
        <w:pStyle w:val="FootnoteText"/>
        <w:ind w:firstLine="0"/>
        <w:rPr>
          <w:lang w:val="hy-AM"/>
        </w:rPr>
      </w:pPr>
      <w:r>
        <w:rPr>
          <w:rStyle w:val="FootnoteReference"/>
        </w:rPr>
        <w:footnoteRef/>
      </w:r>
      <w:r w:rsidRPr="00186240">
        <w:rPr>
          <w:lang w:val="hy-AM"/>
        </w:rPr>
        <w:t xml:space="preserve"> </w:t>
      </w:r>
      <w:r w:rsidRPr="009D27BA">
        <w:rPr>
          <w:lang w:val="hy-AM"/>
        </w:rPr>
        <w:t xml:space="preserve">Սպառողական գների ինդեքսը </w:t>
      </w:r>
      <w:r>
        <w:rPr>
          <w:lang w:val="hy-AM"/>
        </w:rPr>
        <w:t>ՀՀ-</w:t>
      </w:r>
      <w:r w:rsidRPr="009D27BA">
        <w:rPr>
          <w:lang w:val="hy-AM"/>
        </w:rPr>
        <w:t>ում</w:t>
      </w:r>
      <w:r>
        <w:rPr>
          <w:lang w:val="hy-AM"/>
        </w:rPr>
        <w:t xml:space="preserve"> 2021թ. </w:t>
      </w:r>
      <w:r w:rsidRPr="009D27BA">
        <w:rPr>
          <w:lang w:val="hy-AM"/>
        </w:rPr>
        <w:t>հունվար-սեպտեմբերին</w:t>
      </w:r>
      <w:r>
        <w:rPr>
          <w:lang w:val="hy-AM"/>
        </w:rPr>
        <w:t xml:space="preserve">, ՀՀ ՎԿ: Էլ. հղումը` </w:t>
      </w:r>
      <w:r w:rsidR="00C8772C">
        <w:fldChar w:fldCharType="begin"/>
      </w:r>
      <w:r w:rsidR="00C8772C" w:rsidRPr="00D00797">
        <w:rPr>
          <w:lang w:val="hy-AM"/>
        </w:rPr>
        <w:instrText xml:space="preserve"> HYPERLINK "https://www.armstat.am/file/article/cpi_09_2021-arm.pdf" </w:instrText>
      </w:r>
      <w:r w:rsidR="00C8772C">
        <w:fldChar w:fldCharType="separate"/>
      </w:r>
      <w:r w:rsidRPr="007535FD">
        <w:rPr>
          <w:rStyle w:val="Hyperlink"/>
          <w:lang w:val="hy-AM"/>
        </w:rPr>
        <w:t>https://www.armstat.am/file/article/cpi_09_2021-arm.pdf</w:t>
      </w:r>
      <w:r w:rsidR="00C8772C">
        <w:rPr>
          <w:rStyle w:val="Hyperlink"/>
          <w:lang w:val="hy-AM"/>
        </w:rPr>
        <w:fldChar w:fldCharType="end"/>
      </w:r>
      <w:r>
        <w:rPr>
          <w:lang w:val="hy-AM"/>
        </w:rPr>
        <w:t>, էջ 47-48:</w:t>
      </w:r>
    </w:p>
  </w:footnote>
  <w:footnote w:id="43">
    <w:p w14:paraId="42C221D7" w14:textId="3A987D50" w:rsidR="00A63C73" w:rsidRPr="008F5026" w:rsidRDefault="00A63C73" w:rsidP="00DF196D">
      <w:pPr>
        <w:pStyle w:val="FootnoteText"/>
        <w:ind w:firstLine="0"/>
        <w:rPr>
          <w:lang w:val="hy-AM"/>
        </w:rPr>
      </w:pPr>
      <w:r>
        <w:rPr>
          <w:rStyle w:val="FootnoteReference"/>
        </w:rPr>
        <w:footnoteRef/>
      </w:r>
      <w:r w:rsidRPr="00186240">
        <w:rPr>
          <w:lang w:val="hy-AM"/>
        </w:rPr>
        <w:t xml:space="preserve"> </w:t>
      </w:r>
      <w:r>
        <w:rPr>
          <w:lang w:val="hy-AM"/>
        </w:rPr>
        <w:t>Աղբյուրը` ՀՀ ԿԲ տվյալների շտեմարան:</w:t>
      </w:r>
    </w:p>
  </w:footnote>
  <w:footnote w:id="44">
    <w:p w14:paraId="3BC2C219" w14:textId="1BE2DC7F" w:rsidR="00A63C73" w:rsidRPr="008F5026" w:rsidRDefault="00A63C73" w:rsidP="002439FF">
      <w:pPr>
        <w:pStyle w:val="FootnoteText"/>
        <w:ind w:firstLine="0"/>
        <w:rPr>
          <w:lang w:val="hy-AM"/>
        </w:rPr>
      </w:pPr>
      <w:r>
        <w:rPr>
          <w:rStyle w:val="FootnoteReference"/>
        </w:rPr>
        <w:footnoteRef/>
      </w:r>
      <w:r w:rsidRPr="00186240">
        <w:rPr>
          <w:lang w:val="hy-AM"/>
        </w:rPr>
        <w:t xml:space="preserve"> </w:t>
      </w:r>
      <w:r>
        <w:rPr>
          <w:lang w:val="hy-AM"/>
        </w:rPr>
        <w:t>Աղբյուրը` ՀՀ ՎԿ տվյալների շտեմարան:</w:t>
      </w:r>
    </w:p>
  </w:footnote>
  <w:footnote w:id="45">
    <w:p w14:paraId="75C4F7E3" w14:textId="1AD307D6" w:rsidR="00A63C73" w:rsidRPr="00C86C8B" w:rsidRDefault="00A63C73" w:rsidP="00D749A7">
      <w:pPr>
        <w:pStyle w:val="FootnoteText"/>
        <w:ind w:firstLine="0"/>
        <w:rPr>
          <w:lang w:val="hy-AM"/>
        </w:rPr>
      </w:pPr>
      <w:r>
        <w:rPr>
          <w:rStyle w:val="FootnoteReference"/>
        </w:rPr>
        <w:footnoteRef/>
      </w:r>
      <w:r w:rsidRPr="00186240">
        <w:rPr>
          <w:lang w:val="hy-AM"/>
        </w:rPr>
        <w:t xml:space="preserve"> </w:t>
      </w:r>
      <w:r>
        <w:rPr>
          <w:lang w:val="hy-AM"/>
        </w:rPr>
        <w:t>2019թ. հարկային օրենսգրքում կատարված փոփոխությունների համաձայն</w:t>
      </w:r>
      <w:r w:rsidRPr="008D325C">
        <w:rPr>
          <w:lang w:val="hy-AM"/>
        </w:rPr>
        <w:t>՝</w:t>
      </w:r>
      <w:r>
        <w:rPr>
          <w:lang w:val="hy-AM"/>
        </w:rPr>
        <w:t xml:space="preserve"> 2020 թվականից գործարկվել է եկամտային հարկի միասնական </w:t>
      </w:r>
      <w:r w:rsidRPr="00186240">
        <w:rPr>
          <w:lang w:val="hy-AM"/>
        </w:rPr>
        <w:t>(</w:t>
      </w:r>
      <w:r>
        <w:rPr>
          <w:lang w:val="hy-AM"/>
        </w:rPr>
        <w:t>համահարթ</w:t>
      </w:r>
      <w:r w:rsidRPr="00186240">
        <w:rPr>
          <w:lang w:val="hy-AM"/>
        </w:rPr>
        <w:t>)</w:t>
      </w:r>
      <w:r>
        <w:rPr>
          <w:lang w:val="hy-AM"/>
        </w:rPr>
        <w:t xml:space="preserve"> դրույքաչափը` 23</w:t>
      </w:r>
      <w:r w:rsidRPr="00186240">
        <w:rPr>
          <w:lang w:val="hy-AM"/>
        </w:rPr>
        <w:t>%</w:t>
      </w:r>
      <w:r>
        <w:rPr>
          <w:lang w:val="hy-AM"/>
        </w:rPr>
        <w:t>, իսկ 2021 թվականից եկամտային հարկի դրույքաչափը նվազել է ևս 1 տոկոսային կետով</w:t>
      </w:r>
      <w:r w:rsidRPr="00186240">
        <w:rPr>
          <w:lang w:val="hy-AM"/>
        </w:rPr>
        <w:t xml:space="preserve">` </w:t>
      </w:r>
      <w:r>
        <w:rPr>
          <w:lang w:val="hy-AM"/>
        </w:rPr>
        <w:t>կազմելով 22</w:t>
      </w:r>
      <w:r w:rsidRPr="00186240">
        <w:rPr>
          <w:lang w:val="hy-AM"/>
        </w:rPr>
        <w:t xml:space="preserve">%: </w:t>
      </w:r>
      <w:r>
        <w:rPr>
          <w:lang w:val="hy-AM"/>
        </w:rPr>
        <w:t>Ընդ որում, դրույքաչափի 1-ական տոկոսային կետով նվազում է սպասվում նաև հաջորդ 2 տարիների ընթացքում, ինչի արդյունքում 2023 թվականից սկսած` անկախ եկամուտների մակարդակից, բոլորի համար գործելու է 20</w:t>
      </w:r>
      <w:r w:rsidRPr="00186240">
        <w:rPr>
          <w:lang w:val="hy-AM"/>
        </w:rPr>
        <w:t xml:space="preserve">% </w:t>
      </w:r>
      <w:r>
        <w:rPr>
          <w:lang w:val="hy-AM"/>
        </w:rPr>
        <w:t>համահարթ դրույքաչափը:</w:t>
      </w:r>
    </w:p>
  </w:footnote>
  <w:footnote w:id="46">
    <w:p w14:paraId="2066A67E" w14:textId="14EB064E" w:rsidR="00A63C73" w:rsidRPr="00A54256" w:rsidRDefault="00A63C73" w:rsidP="00D749A7">
      <w:pPr>
        <w:pStyle w:val="FootnoteText"/>
        <w:ind w:firstLine="0"/>
        <w:rPr>
          <w:lang w:val="hy-AM"/>
        </w:rPr>
      </w:pPr>
      <w:r>
        <w:rPr>
          <w:rStyle w:val="FootnoteReference"/>
        </w:rPr>
        <w:footnoteRef/>
      </w:r>
      <w:r w:rsidRPr="00186240">
        <w:rPr>
          <w:lang w:val="hy-AM"/>
        </w:rPr>
        <w:t xml:space="preserve"> </w:t>
      </w:r>
      <w:r>
        <w:rPr>
          <w:lang w:val="hy-AM"/>
        </w:rPr>
        <w:t>Գույքահարկի փոփոխությունները ՀՀ ԱԺ կողմից ընդունվել են 2020թ. հունիսին և ունեն բավական խնդրահարույց կետեր: «Լույս» հիմնադրամի կողմից գույքահարկի փոփոխությունների հետ կապված վերլուծությանն ավելի մանրամասն կարելի է ծանոթանալ հետևյալ հղմամբ`</w:t>
      </w:r>
      <w:r w:rsidRPr="00186240">
        <w:rPr>
          <w:lang w:val="hy-AM"/>
        </w:rPr>
        <w:t xml:space="preserve"> </w:t>
      </w:r>
      <w:r w:rsidR="00C8772C">
        <w:fldChar w:fldCharType="begin"/>
      </w:r>
      <w:r w:rsidR="00C8772C" w:rsidRPr="00D00797">
        <w:rPr>
          <w:lang w:val="hy-AM"/>
        </w:rPr>
        <w:instrText xml:space="preserve"> HYPERLINK "https://bit.ly/3pZx6Uo" </w:instrText>
      </w:r>
      <w:r w:rsidR="00C8772C">
        <w:fldChar w:fldCharType="separate"/>
      </w:r>
      <w:r w:rsidRPr="00186240">
        <w:rPr>
          <w:rStyle w:val="Hyperlink"/>
          <w:lang w:val="hy-AM"/>
        </w:rPr>
        <w:t>https://bit.ly/3pZx6Uo</w:t>
      </w:r>
      <w:r w:rsidR="00C8772C">
        <w:rPr>
          <w:rStyle w:val="Hyperlink"/>
          <w:lang w:val="hy-AM"/>
        </w:rPr>
        <w:fldChar w:fldCharType="end"/>
      </w:r>
      <w:r>
        <w:rPr>
          <w:lang w:val="hy-AM"/>
        </w:rPr>
        <w:t>:</w:t>
      </w:r>
    </w:p>
  </w:footnote>
  <w:footnote w:id="47">
    <w:p w14:paraId="1ECA1CAE" w14:textId="77777777" w:rsidR="00A63C73" w:rsidRPr="004A5614" w:rsidRDefault="00A63C73" w:rsidP="00B16BD6">
      <w:pPr>
        <w:pStyle w:val="FootnoteText"/>
        <w:ind w:firstLine="0"/>
        <w:rPr>
          <w:lang w:val="hy-AM"/>
        </w:rPr>
      </w:pPr>
      <w:r>
        <w:rPr>
          <w:rStyle w:val="FootnoteReference"/>
        </w:rPr>
        <w:footnoteRef/>
      </w:r>
      <w:r w:rsidRPr="00186240">
        <w:rPr>
          <w:lang w:val="hy-AM"/>
        </w:rPr>
        <w:t xml:space="preserve"> </w:t>
      </w:r>
      <w:r>
        <w:rPr>
          <w:lang w:val="hy-AM"/>
        </w:rPr>
        <w:t>Աղբյուրը` ՀՀ ֆինանսների նախարարության տվյալների շտեմարան:</w:t>
      </w:r>
    </w:p>
  </w:footnote>
  <w:footnote w:id="48">
    <w:p w14:paraId="1D0E0053" w14:textId="77777777" w:rsidR="00A63C73" w:rsidRPr="002C1378" w:rsidRDefault="00A63C73" w:rsidP="00D749A7">
      <w:pPr>
        <w:pStyle w:val="FootnoteText"/>
        <w:ind w:firstLine="0"/>
        <w:rPr>
          <w:lang w:val="hy-AM"/>
        </w:rPr>
      </w:pPr>
      <w:r>
        <w:rPr>
          <w:rStyle w:val="FootnoteReference"/>
        </w:rPr>
        <w:footnoteRef/>
      </w:r>
      <w:r w:rsidRPr="00186240">
        <w:rPr>
          <w:lang w:val="hy-AM"/>
        </w:rPr>
        <w:t xml:space="preserve"> </w:t>
      </w:r>
      <w:r>
        <w:rPr>
          <w:lang w:val="hy-AM"/>
        </w:rPr>
        <w:t xml:space="preserve">Էլ. տարբերակը հասանելի է հետևյալ հղմամբ` </w:t>
      </w:r>
      <w:r w:rsidR="00C8772C">
        <w:fldChar w:fldCharType="begin"/>
      </w:r>
      <w:r w:rsidR="00C8772C" w:rsidRPr="00D00797">
        <w:rPr>
          <w:lang w:val="hy-AM"/>
        </w:rPr>
        <w:instrText xml:space="preserve"> HYPERLINK "http://armsai.am/files/annual2020.pdf" </w:instrText>
      </w:r>
      <w:r w:rsidR="00C8772C">
        <w:fldChar w:fldCharType="separate"/>
      </w:r>
      <w:r w:rsidRPr="00D65C75">
        <w:rPr>
          <w:rStyle w:val="Hyperlink"/>
          <w:lang w:val="hy-AM"/>
        </w:rPr>
        <w:t>http://armsai.am/files/annual2020.pdf</w:t>
      </w:r>
      <w:r w:rsidR="00C8772C">
        <w:rPr>
          <w:rStyle w:val="Hyperlink"/>
          <w:lang w:val="hy-AM"/>
        </w:rPr>
        <w:fldChar w:fldCharType="end"/>
      </w:r>
      <w:r>
        <w:rPr>
          <w:lang w:val="hy-AM"/>
        </w:rPr>
        <w:t>:</w:t>
      </w:r>
    </w:p>
  </w:footnote>
  <w:footnote w:id="49">
    <w:p w14:paraId="6C05F215" w14:textId="55EA3674" w:rsidR="00A63C73" w:rsidRPr="008F5026" w:rsidRDefault="00A63C73" w:rsidP="00D52E17">
      <w:pPr>
        <w:pStyle w:val="FootnoteText"/>
        <w:ind w:firstLine="0"/>
        <w:rPr>
          <w:lang w:val="hy-AM"/>
        </w:rPr>
      </w:pPr>
      <w:r>
        <w:rPr>
          <w:rStyle w:val="FootnoteReference"/>
        </w:rPr>
        <w:footnoteRef/>
      </w:r>
      <w:r w:rsidRPr="00186240">
        <w:rPr>
          <w:lang w:val="hy-AM"/>
        </w:rPr>
        <w:t xml:space="preserve"> </w:t>
      </w:r>
      <w:r>
        <w:rPr>
          <w:lang w:val="hy-AM"/>
        </w:rPr>
        <w:t>Աղբյուրը` ՀՀ ֆինանսների նախարարության տվյալների շտեմարան:</w:t>
      </w:r>
    </w:p>
  </w:footnote>
  <w:footnote w:id="50">
    <w:p w14:paraId="10D484B3" w14:textId="78E7A499" w:rsidR="00A63C73" w:rsidRPr="008F5026" w:rsidRDefault="00A63C73" w:rsidP="008F5026">
      <w:pPr>
        <w:pStyle w:val="FootnoteText"/>
        <w:ind w:firstLine="0"/>
        <w:rPr>
          <w:lang w:val="hy-AM"/>
        </w:rPr>
      </w:pPr>
      <w:r>
        <w:rPr>
          <w:rStyle w:val="FootnoteReference"/>
        </w:rPr>
        <w:footnoteRef/>
      </w:r>
      <w:r w:rsidRPr="00186240">
        <w:rPr>
          <w:lang w:val="hy-AM"/>
        </w:rPr>
        <w:t xml:space="preserve"> </w:t>
      </w:r>
      <w:r>
        <w:rPr>
          <w:lang w:val="hy-AM"/>
        </w:rPr>
        <w:t xml:space="preserve">Աղբյուրը՝ </w:t>
      </w:r>
      <w:r w:rsidR="00C8772C">
        <w:fldChar w:fldCharType="begin"/>
      </w:r>
      <w:r w:rsidR="00C8772C" w:rsidRPr="00D00797">
        <w:rPr>
          <w:lang w:val="hy-AM"/>
        </w:rPr>
        <w:instrText xml:space="preserve"> HYPERLINK "https://www.e-gov.am/transparent/" </w:instrText>
      </w:r>
      <w:r w:rsidR="00C8772C">
        <w:fldChar w:fldCharType="separate"/>
      </w:r>
      <w:r w:rsidRPr="008C0D7F">
        <w:rPr>
          <w:rStyle w:val="Hyperlink"/>
          <w:lang w:val="hy-AM"/>
        </w:rPr>
        <w:t>https://www.e-gov.am/transparent/</w:t>
      </w:r>
      <w:r w:rsidR="00C8772C">
        <w:rPr>
          <w:rStyle w:val="Hyperlink"/>
          <w:lang w:val="hy-AM"/>
        </w:rPr>
        <w:fldChar w:fldCharType="end"/>
      </w:r>
      <w:r>
        <w:rPr>
          <w:lang w:val="hy-AM"/>
        </w:rPr>
        <w:t>։</w:t>
      </w:r>
    </w:p>
  </w:footnote>
  <w:footnote w:id="51">
    <w:p w14:paraId="6697BEF4" w14:textId="77777777" w:rsidR="00A63C73" w:rsidRPr="007F4A46" w:rsidRDefault="00A63C73" w:rsidP="00D749A7">
      <w:pPr>
        <w:pStyle w:val="FootnoteText"/>
        <w:ind w:firstLine="0"/>
        <w:rPr>
          <w:lang w:val="hy-AM"/>
        </w:rPr>
      </w:pPr>
      <w:r>
        <w:rPr>
          <w:rStyle w:val="FootnoteReference"/>
        </w:rPr>
        <w:footnoteRef/>
      </w:r>
      <w:r w:rsidRPr="00186240">
        <w:rPr>
          <w:lang w:val="hy-AM"/>
        </w:rPr>
        <w:t xml:space="preserve"> </w:t>
      </w:r>
      <w:r>
        <w:rPr>
          <w:lang w:val="hy-AM"/>
        </w:rPr>
        <w:t>2018-2020թթ. ընթացքում գործել են Աղյուսակ 4</w:t>
      </w:r>
      <w:r w:rsidRPr="00186240">
        <w:rPr>
          <w:lang w:val="hy-AM"/>
        </w:rPr>
        <w:t>-</w:t>
      </w:r>
      <w:r>
        <w:rPr>
          <w:lang w:val="hy-AM"/>
        </w:rPr>
        <w:t>ի 2-րդ տողում ներկայացված կանոնները:</w:t>
      </w:r>
    </w:p>
  </w:footnote>
  <w:footnote w:id="52">
    <w:p w14:paraId="72F64675" w14:textId="1F692C4D" w:rsidR="00A63C73" w:rsidRPr="008F5026" w:rsidRDefault="00A63C73" w:rsidP="00A042FB">
      <w:pPr>
        <w:pStyle w:val="FootnoteText"/>
        <w:ind w:firstLine="0"/>
        <w:rPr>
          <w:lang w:val="hy-AM"/>
        </w:rPr>
      </w:pPr>
      <w:r>
        <w:rPr>
          <w:rStyle w:val="FootnoteReference"/>
        </w:rPr>
        <w:footnoteRef/>
      </w:r>
      <w:r w:rsidRPr="00186240">
        <w:rPr>
          <w:lang w:val="hy-AM"/>
        </w:rPr>
        <w:t xml:space="preserve"> </w:t>
      </w:r>
      <w:r>
        <w:rPr>
          <w:lang w:val="hy-AM"/>
        </w:rPr>
        <w:t>Աղբյուրը` ՀՀ կառավարության 2022թ. բյուջետային ուղերձ, էջ 86:</w:t>
      </w:r>
    </w:p>
  </w:footnote>
  <w:footnote w:id="53">
    <w:p w14:paraId="57ADB5A1" w14:textId="13954AB8" w:rsidR="00A63C73" w:rsidRPr="008F5026" w:rsidRDefault="00A63C73" w:rsidP="007A4606">
      <w:pPr>
        <w:pStyle w:val="FootnoteText"/>
        <w:ind w:firstLine="0"/>
        <w:rPr>
          <w:lang w:val="hy-AM"/>
        </w:rPr>
      </w:pPr>
      <w:r>
        <w:rPr>
          <w:rStyle w:val="FootnoteReference"/>
        </w:rPr>
        <w:footnoteRef/>
      </w:r>
      <w:r w:rsidRPr="00186240">
        <w:rPr>
          <w:lang w:val="hy-AM"/>
        </w:rPr>
        <w:t xml:space="preserve"> </w:t>
      </w:r>
      <w:r w:rsidR="00C8772C">
        <w:fldChar w:fldCharType="begin"/>
      </w:r>
      <w:r w:rsidR="00C8772C" w:rsidRPr="00D00797">
        <w:rPr>
          <w:lang w:val="hy-AM"/>
        </w:rPr>
        <w:instrText xml:space="preserve"> HYPERLINK </w:instrText>
      </w:r>
      <w:r w:rsidR="00C8772C" w:rsidRPr="00D00797">
        <w:rPr>
          <w:lang w:val="hy-AM"/>
        </w:rPr>
        <w:instrText xml:space="preserve">"https://www.minfin.am/website/images/website/documents/copy_1_mjcc.zip" </w:instrText>
      </w:r>
      <w:r w:rsidR="00C8772C">
        <w:fldChar w:fldCharType="separate"/>
      </w:r>
      <w:r w:rsidRPr="007E3AC2">
        <w:rPr>
          <w:rStyle w:val="Hyperlink"/>
          <w:lang w:val="hy-AM"/>
        </w:rPr>
        <w:t>https://www.minfin.am/website/images/website/documents/copy_1_mjcc.zip</w:t>
      </w:r>
      <w:r w:rsidR="00C8772C">
        <w:rPr>
          <w:rStyle w:val="Hyperlink"/>
          <w:lang w:val="hy-AM"/>
        </w:rPr>
        <w:fldChar w:fldCharType="end"/>
      </w:r>
      <w:r>
        <w:rPr>
          <w:lang w:val="hy-AM"/>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ECD4" w14:textId="58B9CC72" w:rsidR="00A63C73" w:rsidRDefault="00A63C73">
    <w:pPr>
      <w:pStyle w:val="Header"/>
    </w:pPr>
    <w:r>
      <w:rPr>
        <w:noProof/>
      </w:rPr>
      <w:drawing>
        <wp:anchor distT="0" distB="0" distL="114300" distR="114300" simplePos="0" relativeHeight="251661312" behindDoc="0" locked="0" layoutInCell="1" allowOverlap="1" wp14:anchorId="027A02C3" wp14:editId="3B43F5BB">
          <wp:simplePos x="0" y="0"/>
          <wp:positionH relativeFrom="page">
            <wp:posOffset>-72390</wp:posOffset>
          </wp:positionH>
          <wp:positionV relativeFrom="paragraph">
            <wp:posOffset>-457835</wp:posOffset>
          </wp:positionV>
          <wp:extent cx="7768590" cy="631825"/>
          <wp:effectExtent l="0" t="0" r="3810" b="0"/>
          <wp:wrapSquare wrapText="bothSides"/>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590" cy="6318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7EE2" w14:textId="64230CFB" w:rsidR="00A63C73" w:rsidRPr="007629A4" w:rsidRDefault="00A63C73" w:rsidP="007629A4">
    <w:pPr>
      <w:ind w:firstLine="0"/>
      <w:jc w:val="left"/>
      <w:rPr>
        <w:b/>
        <w:color w:val="FFFFFF" w:themeColor="background1"/>
        <w:sz w:val="28"/>
        <w:lang w:val="hy-AM"/>
      </w:rPr>
    </w:pPr>
    <w:r w:rsidRPr="008F7ECC">
      <w:rPr>
        <w:b/>
        <w:noProof/>
        <w:color w:val="FFFFFF" w:themeColor="background1"/>
        <w:sz w:val="28"/>
        <w:szCs w:val="28"/>
      </w:rPr>
      <w:drawing>
        <wp:anchor distT="0" distB="0" distL="114300" distR="114300" simplePos="0" relativeHeight="251659264" behindDoc="1" locked="0" layoutInCell="1" allowOverlap="1" wp14:anchorId="525800B1" wp14:editId="7FAF0449">
          <wp:simplePos x="0" y="0"/>
          <wp:positionH relativeFrom="page">
            <wp:posOffset>-211455</wp:posOffset>
          </wp:positionH>
          <wp:positionV relativeFrom="page">
            <wp:posOffset>-552450</wp:posOffset>
          </wp:positionV>
          <wp:extent cx="7768590" cy="3138170"/>
          <wp:effectExtent l="0" t="0" r="3810" b="508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590" cy="3138170"/>
                  </a:xfrm>
                  <a:prstGeom prst="rect">
                    <a:avLst/>
                  </a:prstGeom>
                </pic:spPr>
              </pic:pic>
            </a:graphicData>
          </a:graphic>
          <wp14:sizeRelH relativeFrom="margin">
            <wp14:pctWidth>0</wp14:pctWidth>
          </wp14:sizeRelH>
          <wp14:sizeRelV relativeFrom="margin">
            <wp14:pctHeight>0</wp14:pctHeight>
          </wp14:sizeRelV>
        </wp:anchor>
      </w:drawing>
    </w:r>
    <w:r w:rsidRPr="007629A4">
      <w:rPr>
        <w:b/>
        <w:color w:val="FFFFFF" w:themeColor="background1"/>
        <w:sz w:val="28"/>
        <w:lang w:val="hy-AM"/>
      </w:rPr>
      <w:t>ՀՀ ԿԱՌԱՎԱՐՈՒԹՅԱՆ ՏՆՏԵՍԱԿԱՆ ՔԱՂԱՔԱԿԱՆՈՒԹՅԱՆ ԱՌԱՆՑՔԱՅԻՆ ԹԻՐԱԽՆԵՐԸ</w:t>
    </w:r>
  </w:p>
  <w:p w14:paraId="477AA298" w14:textId="0271D5C8" w:rsidR="00A63C73" w:rsidRDefault="00A63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306"/>
    <w:multiLevelType w:val="hybridMultilevel"/>
    <w:tmpl w:val="E06896E4"/>
    <w:lvl w:ilvl="0" w:tplc="B83A0520">
      <w:start w:val="1"/>
      <w:numFmt w:val="bullet"/>
      <w:lvlText w:val=""/>
      <w:lvlJc w:val="left"/>
      <w:pPr>
        <w:ind w:left="1912" w:hanging="360"/>
      </w:pPr>
      <w:rPr>
        <w:rFonts w:ascii="Wingdings" w:hAnsi="Wingdings" w:hint="default"/>
        <w:color w:val="00B0F0"/>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
    <w:nsid w:val="0995414E"/>
    <w:multiLevelType w:val="hybridMultilevel"/>
    <w:tmpl w:val="0C5C7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12E0"/>
    <w:multiLevelType w:val="hybridMultilevel"/>
    <w:tmpl w:val="298AF4F0"/>
    <w:lvl w:ilvl="0" w:tplc="B83A0520">
      <w:start w:val="1"/>
      <w:numFmt w:val="bullet"/>
      <w:lvlText w:val=""/>
      <w:lvlJc w:val="left"/>
      <w:pPr>
        <w:ind w:left="1912" w:hanging="360"/>
      </w:pPr>
      <w:rPr>
        <w:rFonts w:ascii="Wingdings" w:hAnsi="Wingdings" w:hint="default"/>
        <w:color w:val="00B0F0"/>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3">
    <w:nsid w:val="13637F1C"/>
    <w:multiLevelType w:val="hybridMultilevel"/>
    <w:tmpl w:val="710693AE"/>
    <w:lvl w:ilvl="0" w:tplc="CC8EFDBA">
      <w:start w:val="1"/>
      <w:numFmt w:val="bullet"/>
      <w:lvlText w:val=""/>
      <w:lvlJc w:val="left"/>
      <w:pPr>
        <w:ind w:left="1912" w:hanging="360"/>
      </w:pPr>
      <w:rPr>
        <w:rFonts w:ascii="Wingdings" w:hAnsi="Wingdings" w:hint="default"/>
        <w:color w:val="00B0F0"/>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4">
    <w:nsid w:val="137471E6"/>
    <w:multiLevelType w:val="hybridMultilevel"/>
    <w:tmpl w:val="BC2ECC8A"/>
    <w:lvl w:ilvl="0" w:tplc="50AEA580">
      <w:start w:val="1"/>
      <w:numFmt w:val="bullet"/>
      <w:lvlText w:val=""/>
      <w:lvlJc w:val="left"/>
      <w:pPr>
        <w:ind w:left="1322" w:hanging="360"/>
      </w:pPr>
      <w:rPr>
        <w:rFonts w:ascii="Wingdings" w:hAnsi="Wingdings" w:hint="default"/>
        <w:color w:val="00B0F0"/>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5">
    <w:nsid w:val="14604C48"/>
    <w:multiLevelType w:val="hybridMultilevel"/>
    <w:tmpl w:val="658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01EAA"/>
    <w:multiLevelType w:val="hybridMultilevel"/>
    <w:tmpl w:val="28A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30DF9"/>
    <w:multiLevelType w:val="hybridMultilevel"/>
    <w:tmpl w:val="893C341C"/>
    <w:lvl w:ilvl="0" w:tplc="CC8EFDBA">
      <w:start w:val="1"/>
      <w:numFmt w:val="bullet"/>
      <w:lvlText w:val=""/>
      <w:lvlJc w:val="left"/>
      <w:pPr>
        <w:ind w:left="1912" w:hanging="360"/>
      </w:pPr>
      <w:rPr>
        <w:rFonts w:ascii="Wingdings" w:hAnsi="Wingdings" w:hint="default"/>
        <w:color w:val="00B0F0"/>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8">
    <w:nsid w:val="1E6B15A4"/>
    <w:multiLevelType w:val="hybridMultilevel"/>
    <w:tmpl w:val="1A860894"/>
    <w:lvl w:ilvl="0" w:tplc="B83A0520">
      <w:start w:val="1"/>
      <w:numFmt w:val="bullet"/>
      <w:lvlText w:val=""/>
      <w:lvlJc w:val="left"/>
      <w:pPr>
        <w:ind w:left="1316" w:hanging="360"/>
      </w:pPr>
      <w:rPr>
        <w:rFonts w:ascii="Wingdings" w:hAnsi="Wingdings" w:hint="default"/>
        <w:color w:val="00B0F0"/>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9">
    <w:nsid w:val="23884635"/>
    <w:multiLevelType w:val="hybridMultilevel"/>
    <w:tmpl w:val="2BFCBC4A"/>
    <w:lvl w:ilvl="0" w:tplc="0409000F">
      <w:start w:val="1"/>
      <w:numFmt w:val="decimal"/>
      <w:lvlText w:val="%1."/>
      <w:lvlJc w:val="left"/>
      <w:pPr>
        <w:ind w:left="1322" w:hanging="360"/>
      </w:p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0">
    <w:nsid w:val="26362158"/>
    <w:multiLevelType w:val="hybridMultilevel"/>
    <w:tmpl w:val="ADC85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647AC"/>
    <w:multiLevelType w:val="hybridMultilevel"/>
    <w:tmpl w:val="28A24314"/>
    <w:lvl w:ilvl="0" w:tplc="CC8EFDBA">
      <w:start w:val="1"/>
      <w:numFmt w:val="bullet"/>
      <w:lvlText w:val=""/>
      <w:lvlJc w:val="left"/>
      <w:pPr>
        <w:ind w:left="1316" w:hanging="360"/>
      </w:pPr>
      <w:rPr>
        <w:rFonts w:ascii="Wingdings" w:hAnsi="Wingdings" w:hint="default"/>
        <w:color w:val="00B0F0"/>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2">
    <w:nsid w:val="2B7723EF"/>
    <w:multiLevelType w:val="hybridMultilevel"/>
    <w:tmpl w:val="75DCF762"/>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3">
    <w:nsid w:val="2C347A76"/>
    <w:multiLevelType w:val="hybridMultilevel"/>
    <w:tmpl w:val="4926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D3A79"/>
    <w:multiLevelType w:val="hybridMultilevel"/>
    <w:tmpl w:val="E13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67037"/>
    <w:multiLevelType w:val="hybridMultilevel"/>
    <w:tmpl w:val="9F3AE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83C40"/>
    <w:multiLevelType w:val="hybridMultilevel"/>
    <w:tmpl w:val="49F0E084"/>
    <w:lvl w:ilvl="0" w:tplc="CC8EFDBA">
      <w:start w:val="1"/>
      <w:numFmt w:val="bullet"/>
      <w:lvlText w:val=""/>
      <w:lvlJc w:val="left"/>
      <w:pPr>
        <w:ind w:left="1912" w:hanging="360"/>
      </w:pPr>
      <w:rPr>
        <w:rFonts w:ascii="Wingdings" w:hAnsi="Wingdings" w:hint="default"/>
        <w:color w:val="00B0F0"/>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7">
    <w:nsid w:val="4E81602E"/>
    <w:multiLevelType w:val="hybridMultilevel"/>
    <w:tmpl w:val="455C4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912FD"/>
    <w:multiLevelType w:val="hybridMultilevel"/>
    <w:tmpl w:val="AE125628"/>
    <w:lvl w:ilvl="0" w:tplc="8F6228BE">
      <w:start w:val="1"/>
      <w:numFmt w:val="bullet"/>
      <w:lvlText w:val=""/>
      <w:lvlJc w:val="left"/>
      <w:pPr>
        <w:ind w:left="1316" w:hanging="360"/>
      </w:pPr>
      <w:rPr>
        <w:rFonts w:ascii="Wingdings" w:hAnsi="Wingdings" w:hint="default"/>
        <w:color w:val="00B0F0"/>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9">
    <w:nsid w:val="619966EB"/>
    <w:multiLevelType w:val="hybridMultilevel"/>
    <w:tmpl w:val="41E0BB18"/>
    <w:lvl w:ilvl="0" w:tplc="50AEA580">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85A45"/>
    <w:multiLevelType w:val="hybridMultilevel"/>
    <w:tmpl w:val="A0D6C074"/>
    <w:lvl w:ilvl="0" w:tplc="50AEA580">
      <w:start w:val="1"/>
      <w:numFmt w:val="bullet"/>
      <w:lvlText w:val=""/>
      <w:lvlJc w:val="left"/>
      <w:pPr>
        <w:ind w:left="1322" w:hanging="360"/>
      </w:pPr>
      <w:rPr>
        <w:rFonts w:ascii="Wingdings" w:hAnsi="Wingdings" w:hint="default"/>
        <w:color w:val="00B0F0"/>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1">
    <w:nsid w:val="6C803C80"/>
    <w:multiLevelType w:val="hybridMultilevel"/>
    <w:tmpl w:val="65B2F144"/>
    <w:lvl w:ilvl="0" w:tplc="0409000B">
      <w:start w:val="1"/>
      <w:numFmt w:val="bullet"/>
      <w:lvlText w:val=""/>
      <w:lvlJc w:val="left"/>
      <w:pPr>
        <w:ind w:left="716" w:hanging="360"/>
      </w:pPr>
      <w:rPr>
        <w:rFonts w:ascii="Wingdings" w:hAnsi="Wingdings"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2">
    <w:nsid w:val="775C59F0"/>
    <w:multiLevelType w:val="hybridMultilevel"/>
    <w:tmpl w:val="2EEEC7A8"/>
    <w:lvl w:ilvl="0" w:tplc="FD60E932">
      <w:start w:val="1"/>
      <w:numFmt w:val="bullet"/>
      <w:lvlText w:val=""/>
      <w:lvlJc w:val="left"/>
      <w:pPr>
        <w:ind w:left="1316" w:hanging="360"/>
      </w:pPr>
      <w:rPr>
        <w:rFonts w:ascii="Wingdings" w:hAnsi="Wingdings" w:hint="default"/>
        <w:color w:val="00B0F0"/>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23">
    <w:nsid w:val="779732A9"/>
    <w:multiLevelType w:val="hybridMultilevel"/>
    <w:tmpl w:val="35E03A28"/>
    <w:lvl w:ilvl="0" w:tplc="84F88C4C">
      <w:start w:val="1"/>
      <w:numFmt w:val="bullet"/>
      <w:lvlText w:val=""/>
      <w:lvlJc w:val="left"/>
      <w:pPr>
        <w:ind w:left="720" w:hanging="360"/>
      </w:pPr>
      <w:rPr>
        <w:rFonts w:ascii="Wingdings" w:hAnsi="Wingdings" w:hint="default"/>
        <w:color w:val="00B0F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05724"/>
    <w:multiLevelType w:val="hybridMultilevel"/>
    <w:tmpl w:val="71D439D0"/>
    <w:lvl w:ilvl="0" w:tplc="50AEA580">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393322"/>
    <w:multiLevelType w:val="hybridMultilevel"/>
    <w:tmpl w:val="A7B667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2"/>
  </w:num>
  <w:num w:numId="3">
    <w:abstractNumId w:val="9"/>
  </w:num>
  <w:num w:numId="4">
    <w:abstractNumId w:val="13"/>
  </w:num>
  <w:num w:numId="5">
    <w:abstractNumId w:val="5"/>
  </w:num>
  <w:num w:numId="6">
    <w:abstractNumId w:val="22"/>
  </w:num>
  <w:num w:numId="7">
    <w:abstractNumId w:val="18"/>
  </w:num>
  <w:num w:numId="8">
    <w:abstractNumId w:val="25"/>
  </w:num>
  <w:num w:numId="9">
    <w:abstractNumId w:val="14"/>
  </w:num>
  <w:num w:numId="10">
    <w:abstractNumId w:val="11"/>
  </w:num>
  <w:num w:numId="11">
    <w:abstractNumId w:val="16"/>
  </w:num>
  <w:num w:numId="12">
    <w:abstractNumId w:val="7"/>
  </w:num>
  <w:num w:numId="13">
    <w:abstractNumId w:val="3"/>
  </w:num>
  <w:num w:numId="14">
    <w:abstractNumId w:val="8"/>
  </w:num>
  <w:num w:numId="15">
    <w:abstractNumId w:val="2"/>
  </w:num>
  <w:num w:numId="16">
    <w:abstractNumId w:val="0"/>
  </w:num>
  <w:num w:numId="17">
    <w:abstractNumId w:val="15"/>
  </w:num>
  <w:num w:numId="18">
    <w:abstractNumId w:val="21"/>
  </w:num>
  <w:num w:numId="19">
    <w:abstractNumId w:val="10"/>
  </w:num>
  <w:num w:numId="20">
    <w:abstractNumId w:val="17"/>
  </w:num>
  <w:num w:numId="21">
    <w:abstractNumId w:val="1"/>
  </w:num>
  <w:num w:numId="22">
    <w:abstractNumId w:val="23"/>
  </w:num>
  <w:num w:numId="23">
    <w:abstractNumId w:val="4"/>
  </w:num>
  <w:num w:numId="24">
    <w:abstractNumId w:val="2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18"/>
    <w:rsid w:val="00001A96"/>
    <w:rsid w:val="0000360B"/>
    <w:rsid w:val="00004C10"/>
    <w:rsid w:val="00005A9D"/>
    <w:rsid w:val="00006504"/>
    <w:rsid w:val="00007581"/>
    <w:rsid w:val="00010C77"/>
    <w:rsid w:val="00011A50"/>
    <w:rsid w:val="00011E77"/>
    <w:rsid w:val="0001202B"/>
    <w:rsid w:val="00012181"/>
    <w:rsid w:val="00015068"/>
    <w:rsid w:val="0001609C"/>
    <w:rsid w:val="00020306"/>
    <w:rsid w:val="00020B29"/>
    <w:rsid w:val="00020E21"/>
    <w:rsid w:val="00024F56"/>
    <w:rsid w:val="00025B7F"/>
    <w:rsid w:val="00030DFD"/>
    <w:rsid w:val="000319C1"/>
    <w:rsid w:val="00033EEA"/>
    <w:rsid w:val="0003430C"/>
    <w:rsid w:val="000419F1"/>
    <w:rsid w:val="00041EE0"/>
    <w:rsid w:val="00041FF5"/>
    <w:rsid w:val="00042294"/>
    <w:rsid w:val="00042797"/>
    <w:rsid w:val="00042AAC"/>
    <w:rsid w:val="00043A5E"/>
    <w:rsid w:val="0004413C"/>
    <w:rsid w:val="00045545"/>
    <w:rsid w:val="00051C88"/>
    <w:rsid w:val="000525BA"/>
    <w:rsid w:val="000551E2"/>
    <w:rsid w:val="000600E6"/>
    <w:rsid w:val="00060BAF"/>
    <w:rsid w:val="00064CC1"/>
    <w:rsid w:val="000650DE"/>
    <w:rsid w:val="00066299"/>
    <w:rsid w:val="00066E43"/>
    <w:rsid w:val="0006755C"/>
    <w:rsid w:val="00067A09"/>
    <w:rsid w:val="00070E52"/>
    <w:rsid w:val="0007130B"/>
    <w:rsid w:val="00073319"/>
    <w:rsid w:val="0007497A"/>
    <w:rsid w:val="00076C32"/>
    <w:rsid w:val="000778D3"/>
    <w:rsid w:val="0008181F"/>
    <w:rsid w:val="000819D9"/>
    <w:rsid w:val="000826B0"/>
    <w:rsid w:val="00084A25"/>
    <w:rsid w:val="00086050"/>
    <w:rsid w:val="00086E06"/>
    <w:rsid w:val="0008794E"/>
    <w:rsid w:val="00087E1B"/>
    <w:rsid w:val="00087E50"/>
    <w:rsid w:val="00091E82"/>
    <w:rsid w:val="0009316D"/>
    <w:rsid w:val="000937A9"/>
    <w:rsid w:val="00094014"/>
    <w:rsid w:val="00094363"/>
    <w:rsid w:val="000945E1"/>
    <w:rsid w:val="00095414"/>
    <w:rsid w:val="000958E9"/>
    <w:rsid w:val="000A05BF"/>
    <w:rsid w:val="000A2BDE"/>
    <w:rsid w:val="000A4572"/>
    <w:rsid w:val="000A746F"/>
    <w:rsid w:val="000B282A"/>
    <w:rsid w:val="000B442E"/>
    <w:rsid w:val="000B46BD"/>
    <w:rsid w:val="000B50D7"/>
    <w:rsid w:val="000B624B"/>
    <w:rsid w:val="000B6790"/>
    <w:rsid w:val="000B7E26"/>
    <w:rsid w:val="000C0684"/>
    <w:rsid w:val="000C0D57"/>
    <w:rsid w:val="000C27E1"/>
    <w:rsid w:val="000C3A7A"/>
    <w:rsid w:val="000C7589"/>
    <w:rsid w:val="000C7A91"/>
    <w:rsid w:val="000D050E"/>
    <w:rsid w:val="000D095A"/>
    <w:rsid w:val="000D11D6"/>
    <w:rsid w:val="000D2DBF"/>
    <w:rsid w:val="000D3173"/>
    <w:rsid w:val="000D3BF1"/>
    <w:rsid w:val="000D3D69"/>
    <w:rsid w:val="000D4BB8"/>
    <w:rsid w:val="000D4C6F"/>
    <w:rsid w:val="000D776D"/>
    <w:rsid w:val="000D7E63"/>
    <w:rsid w:val="000E0D03"/>
    <w:rsid w:val="000E2824"/>
    <w:rsid w:val="000E38B1"/>
    <w:rsid w:val="000E39CC"/>
    <w:rsid w:val="000E42B2"/>
    <w:rsid w:val="000E45EF"/>
    <w:rsid w:val="000E4AA0"/>
    <w:rsid w:val="000F06A1"/>
    <w:rsid w:val="000F233F"/>
    <w:rsid w:val="000F3254"/>
    <w:rsid w:val="000F3419"/>
    <w:rsid w:val="000F350B"/>
    <w:rsid w:val="000F49F8"/>
    <w:rsid w:val="000F6030"/>
    <w:rsid w:val="000F73A1"/>
    <w:rsid w:val="001012F0"/>
    <w:rsid w:val="0010279A"/>
    <w:rsid w:val="00103260"/>
    <w:rsid w:val="00103345"/>
    <w:rsid w:val="001050F5"/>
    <w:rsid w:val="00111210"/>
    <w:rsid w:val="00113880"/>
    <w:rsid w:val="00114F6B"/>
    <w:rsid w:val="0011596F"/>
    <w:rsid w:val="0011721E"/>
    <w:rsid w:val="001173E6"/>
    <w:rsid w:val="00117A8F"/>
    <w:rsid w:val="00120FEC"/>
    <w:rsid w:val="001211D7"/>
    <w:rsid w:val="00121B8A"/>
    <w:rsid w:val="001220DB"/>
    <w:rsid w:val="00122B94"/>
    <w:rsid w:val="001239C7"/>
    <w:rsid w:val="00123A45"/>
    <w:rsid w:val="0012478C"/>
    <w:rsid w:val="0012729C"/>
    <w:rsid w:val="00127E62"/>
    <w:rsid w:val="00127F7D"/>
    <w:rsid w:val="001303AB"/>
    <w:rsid w:val="00130F0A"/>
    <w:rsid w:val="00132216"/>
    <w:rsid w:val="00132F41"/>
    <w:rsid w:val="00133F0E"/>
    <w:rsid w:val="00135A94"/>
    <w:rsid w:val="00140C53"/>
    <w:rsid w:val="00140E16"/>
    <w:rsid w:val="00140E94"/>
    <w:rsid w:val="0014113C"/>
    <w:rsid w:val="0014115E"/>
    <w:rsid w:val="00141372"/>
    <w:rsid w:val="0014219E"/>
    <w:rsid w:val="001425CE"/>
    <w:rsid w:val="00142DCB"/>
    <w:rsid w:val="00142EEF"/>
    <w:rsid w:val="001472BC"/>
    <w:rsid w:val="0015062E"/>
    <w:rsid w:val="00153363"/>
    <w:rsid w:val="00154D26"/>
    <w:rsid w:val="00154E4F"/>
    <w:rsid w:val="00156F9C"/>
    <w:rsid w:val="00161A9F"/>
    <w:rsid w:val="001627CD"/>
    <w:rsid w:val="0016363D"/>
    <w:rsid w:val="001662D3"/>
    <w:rsid w:val="0017094F"/>
    <w:rsid w:val="00171D16"/>
    <w:rsid w:val="00173A66"/>
    <w:rsid w:val="00175A1C"/>
    <w:rsid w:val="001828F7"/>
    <w:rsid w:val="00182D66"/>
    <w:rsid w:val="00183239"/>
    <w:rsid w:val="0018387B"/>
    <w:rsid w:val="00186240"/>
    <w:rsid w:val="00186429"/>
    <w:rsid w:val="00186B00"/>
    <w:rsid w:val="00190D2C"/>
    <w:rsid w:val="00190FEA"/>
    <w:rsid w:val="0019161F"/>
    <w:rsid w:val="00192190"/>
    <w:rsid w:val="001928EB"/>
    <w:rsid w:val="00192FCA"/>
    <w:rsid w:val="0019549A"/>
    <w:rsid w:val="00197C77"/>
    <w:rsid w:val="00197E49"/>
    <w:rsid w:val="001A33C9"/>
    <w:rsid w:val="001A3B97"/>
    <w:rsid w:val="001B492A"/>
    <w:rsid w:val="001B71E3"/>
    <w:rsid w:val="001B7238"/>
    <w:rsid w:val="001B7537"/>
    <w:rsid w:val="001C09CF"/>
    <w:rsid w:val="001C11B5"/>
    <w:rsid w:val="001C2B0B"/>
    <w:rsid w:val="001C319C"/>
    <w:rsid w:val="001C3DCD"/>
    <w:rsid w:val="001C51C7"/>
    <w:rsid w:val="001C56EC"/>
    <w:rsid w:val="001C6F2B"/>
    <w:rsid w:val="001C7BD4"/>
    <w:rsid w:val="001D0B6B"/>
    <w:rsid w:val="001D0F04"/>
    <w:rsid w:val="001D7E6F"/>
    <w:rsid w:val="001E0AD3"/>
    <w:rsid w:val="001E3F17"/>
    <w:rsid w:val="001E411E"/>
    <w:rsid w:val="001E4454"/>
    <w:rsid w:val="001E46BC"/>
    <w:rsid w:val="001E5A59"/>
    <w:rsid w:val="001E6C71"/>
    <w:rsid w:val="001F07C6"/>
    <w:rsid w:val="001F406D"/>
    <w:rsid w:val="001F791B"/>
    <w:rsid w:val="00203404"/>
    <w:rsid w:val="002037B6"/>
    <w:rsid w:val="00207E31"/>
    <w:rsid w:val="0021273C"/>
    <w:rsid w:val="00213563"/>
    <w:rsid w:val="00216CD3"/>
    <w:rsid w:val="00220073"/>
    <w:rsid w:val="00220592"/>
    <w:rsid w:val="0022167F"/>
    <w:rsid w:val="0022189C"/>
    <w:rsid w:val="00223D2C"/>
    <w:rsid w:val="00224F82"/>
    <w:rsid w:val="00225A57"/>
    <w:rsid w:val="00226367"/>
    <w:rsid w:val="00226A2A"/>
    <w:rsid w:val="00231D0D"/>
    <w:rsid w:val="00232769"/>
    <w:rsid w:val="002327FB"/>
    <w:rsid w:val="002333C1"/>
    <w:rsid w:val="002336D4"/>
    <w:rsid w:val="00233B93"/>
    <w:rsid w:val="00233C58"/>
    <w:rsid w:val="002343A8"/>
    <w:rsid w:val="0023468A"/>
    <w:rsid w:val="002361ED"/>
    <w:rsid w:val="00237B3C"/>
    <w:rsid w:val="00242EF4"/>
    <w:rsid w:val="00243824"/>
    <w:rsid w:val="00243947"/>
    <w:rsid w:val="002439FF"/>
    <w:rsid w:val="00244B64"/>
    <w:rsid w:val="00245842"/>
    <w:rsid w:val="002467C4"/>
    <w:rsid w:val="00247524"/>
    <w:rsid w:val="00247F8E"/>
    <w:rsid w:val="00251DE6"/>
    <w:rsid w:val="002542E3"/>
    <w:rsid w:val="002544B3"/>
    <w:rsid w:val="0025744A"/>
    <w:rsid w:val="00257670"/>
    <w:rsid w:val="00257A10"/>
    <w:rsid w:val="00262388"/>
    <w:rsid w:val="00262A72"/>
    <w:rsid w:val="00272423"/>
    <w:rsid w:val="00272591"/>
    <w:rsid w:val="00273D3D"/>
    <w:rsid w:val="00273D42"/>
    <w:rsid w:val="00275194"/>
    <w:rsid w:val="0027766A"/>
    <w:rsid w:val="00283741"/>
    <w:rsid w:val="00287EE9"/>
    <w:rsid w:val="0029130B"/>
    <w:rsid w:val="002918CB"/>
    <w:rsid w:val="002931E4"/>
    <w:rsid w:val="0029380C"/>
    <w:rsid w:val="002939E2"/>
    <w:rsid w:val="00295D4F"/>
    <w:rsid w:val="002A042E"/>
    <w:rsid w:val="002A10C4"/>
    <w:rsid w:val="002A147B"/>
    <w:rsid w:val="002A15DD"/>
    <w:rsid w:val="002A31C4"/>
    <w:rsid w:val="002A372D"/>
    <w:rsid w:val="002A4401"/>
    <w:rsid w:val="002A54E6"/>
    <w:rsid w:val="002A6BCD"/>
    <w:rsid w:val="002B340E"/>
    <w:rsid w:val="002B3A1B"/>
    <w:rsid w:val="002B4D82"/>
    <w:rsid w:val="002B5190"/>
    <w:rsid w:val="002C0C6F"/>
    <w:rsid w:val="002C1B35"/>
    <w:rsid w:val="002C39E7"/>
    <w:rsid w:val="002C4705"/>
    <w:rsid w:val="002C4C1B"/>
    <w:rsid w:val="002C6E43"/>
    <w:rsid w:val="002D0EC3"/>
    <w:rsid w:val="002D7326"/>
    <w:rsid w:val="002E1011"/>
    <w:rsid w:val="002E2329"/>
    <w:rsid w:val="002E2C5C"/>
    <w:rsid w:val="002E5BC9"/>
    <w:rsid w:val="002F1AB8"/>
    <w:rsid w:val="002F5030"/>
    <w:rsid w:val="002F625C"/>
    <w:rsid w:val="002F6D5B"/>
    <w:rsid w:val="003011A5"/>
    <w:rsid w:val="0030181C"/>
    <w:rsid w:val="0030305D"/>
    <w:rsid w:val="00303097"/>
    <w:rsid w:val="00303929"/>
    <w:rsid w:val="00306656"/>
    <w:rsid w:val="00311C42"/>
    <w:rsid w:val="00316FB3"/>
    <w:rsid w:val="00320B0A"/>
    <w:rsid w:val="003222BD"/>
    <w:rsid w:val="0032271B"/>
    <w:rsid w:val="003246A1"/>
    <w:rsid w:val="003269C3"/>
    <w:rsid w:val="00330CFA"/>
    <w:rsid w:val="00333D8B"/>
    <w:rsid w:val="00342ABF"/>
    <w:rsid w:val="003435C6"/>
    <w:rsid w:val="00344689"/>
    <w:rsid w:val="00344DD7"/>
    <w:rsid w:val="00345455"/>
    <w:rsid w:val="00345A21"/>
    <w:rsid w:val="003503FC"/>
    <w:rsid w:val="0035145B"/>
    <w:rsid w:val="00351CE7"/>
    <w:rsid w:val="0035258B"/>
    <w:rsid w:val="00357FC9"/>
    <w:rsid w:val="00361309"/>
    <w:rsid w:val="00361DAA"/>
    <w:rsid w:val="00362E8D"/>
    <w:rsid w:val="0036351E"/>
    <w:rsid w:val="00364C86"/>
    <w:rsid w:val="00364EC8"/>
    <w:rsid w:val="0036589D"/>
    <w:rsid w:val="0036717C"/>
    <w:rsid w:val="003671B7"/>
    <w:rsid w:val="003673EA"/>
    <w:rsid w:val="0037145A"/>
    <w:rsid w:val="00373FF5"/>
    <w:rsid w:val="00374DFB"/>
    <w:rsid w:val="003759B9"/>
    <w:rsid w:val="0037707A"/>
    <w:rsid w:val="00377558"/>
    <w:rsid w:val="00380100"/>
    <w:rsid w:val="003809A3"/>
    <w:rsid w:val="00380B82"/>
    <w:rsid w:val="0038227D"/>
    <w:rsid w:val="003833D2"/>
    <w:rsid w:val="00383803"/>
    <w:rsid w:val="0038604F"/>
    <w:rsid w:val="003905F4"/>
    <w:rsid w:val="00391534"/>
    <w:rsid w:val="00391586"/>
    <w:rsid w:val="003929A4"/>
    <w:rsid w:val="003934C6"/>
    <w:rsid w:val="0039781C"/>
    <w:rsid w:val="003A02F2"/>
    <w:rsid w:val="003A6941"/>
    <w:rsid w:val="003A752F"/>
    <w:rsid w:val="003B29C8"/>
    <w:rsid w:val="003B3AD3"/>
    <w:rsid w:val="003B4BDF"/>
    <w:rsid w:val="003B52E5"/>
    <w:rsid w:val="003B622A"/>
    <w:rsid w:val="003C0897"/>
    <w:rsid w:val="003C4F2C"/>
    <w:rsid w:val="003C5169"/>
    <w:rsid w:val="003C7925"/>
    <w:rsid w:val="003D03A5"/>
    <w:rsid w:val="003D18C6"/>
    <w:rsid w:val="003D3454"/>
    <w:rsid w:val="003D5786"/>
    <w:rsid w:val="003D78BF"/>
    <w:rsid w:val="003E1499"/>
    <w:rsid w:val="003E1EC5"/>
    <w:rsid w:val="003E23D4"/>
    <w:rsid w:val="003E2483"/>
    <w:rsid w:val="003E3CED"/>
    <w:rsid w:val="003E5599"/>
    <w:rsid w:val="003F03A5"/>
    <w:rsid w:val="003F048E"/>
    <w:rsid w:val="003F284D"/>
    <w:rsid w:val="003F4574"/>
    <w:rsid w:val="003F464B"/>
    <w:rsid w:val="003F4E0A"/>
    <w:rsid w:val="003F5658"/>
    <w:rsid w:val="003F6462"/>
    <w:rsid w:val="003F6843"/>
    <w:rsid w:val="003F7BCA"/>
    <w:rsid w:val="0040108C"/>
    <w:rsid w:val="00401564"/>
    <w:rsid w:val="004018D9"/>
    <w:rsid w:val="00403A27"/>
    <w:rsid w:val="00403F5D"/>
    <w:rsid w:val="0040488E"/>
    <w:rsid w:val="004052EE"/>
    <w:rsid w:val="004108F1"/>
    <w:rsid w:val="00411A59"/>
    <w:rsid w:val="00412A12"/>
    <w:rsid w:val="00412CE5"/>
    <w:rsid w:val="00413D8D"/>
    <w:rsid w:val="0041436F"/>
    <w:rsid w:val="00414A5E"/>
    <w:rsid w:val="00423E2E"/>
    <w:rsid w:val="00426B1F"/>
    <w:rsid w:val="00431127"/>
    <w:rsid w:val="0043190E"/>
    <w:rsid w:val="00431B28"/>
    <w:rsid w:val="00432907"/>
    <w:rsid w:val="0043353E"/>
    <w:rsid w:val="0043617C"/>
    <w:rsid w:val="00440B0C"/>
    <w:rsid w:val="00441CB4"/>
    <w:rsid w:val="00442129"/>
    <w:rsid w:val="0044268B"/>
    <w:rsid w:val="004442B5"/>
    <w:rsid w:val="00444499"/>
    <w:rsid w:val="0044472D"/>
    <w:rsid w:val="00444B78"/>
    <w:rsid w:val="004461D2"/>
    <w:rsid w:val="004470D9"/>
    <w:rsid w:val="004507E9"/>
    <w:rsid w:val="004527AE"/>
    <w:rsid w:val="0045554F"/>
    <w:rsid w:val="00456B06"/>
    <w:rsid w:val="004600C0"/>
    <w:rsid w:val="00460277"/>
    <w:rsid w:val="0046087E"/>
    <w:rsid w:val="00461BCB"/>
    <w:rsid w:val="00463686"/>
    <w:rsid w:val="0046416D"/>
    <w:rsid w:val="00465067"/>
    <w:rsid w:val="00465763"/>
    <w:rsid w:val="00465A34"/>
    <w:rsid w:val="004675BB"/>
    <w:rsid w:val="00467C43"/>
    <w:rsid w:val="004710B5"/>
    <w:rsid w:val="00473AEF"/>
    <w:rsid w:val="00475007"/>
    <w:rsid w:val="00476CFC"/>
    <w:rsid w:val="00480432"/>
    <w:rsid w:val="00481A4A"/>
    <w:rsid w:val="00486004"/>
    <w:rsid w:val="00491734"/>
    <w:rsid w:val="00491CA2"/>
    <w:rsid w:val="00492AB9"/>
    <w:rsid w:val="004940E8"/>
    <w:rsid w:val="00496155"/>
    <w:rsid w:val="004A06C2"/>
    <w:rsid w:val="004A1244"/>
    <w:rsid w:val="004A20D3"/>
    <w:rsid w:val="004A2E8C"/>
    <w:rsid w:val="004A383D"/>
    <w:rsid w:val="004A594A"/>
    <w:rsid w:val="004B0BDA"/>
    <w:rsid w:val="004B16AD"/>
    <w:rsid w:val="004B24F4"/>
    <w:rsid w:val="004B3351"/>
    <w:rsid w:val="004B5B56"/>
    <w:rsid w:val="004B6B0F"/>
    <w:rsid w:val="004B7688"/>
    <w:rsid w:val="004B76D1"/>
    <w:rsid w:val="004C11A3"/>
    <w:rsid w:val="004C1F29"/>
    <w:rsid w:val="004C3010"/>
    <w:rsid w:val="004C3D9F"/>
    <w:rsid w:val="004C4073"/>
    <w:rsid w:val="004C5048"/>
    <w:rsid w:val="004C5108"/>
    <w:rsid w:val="004C5626"/>
    <w:rsid w:val="004C563F"/>
    <w:rsid w:val="004C637E"/>
    <w:rsid w:val="004D0207"/>
    <w:rsid w:val="004D0A23"/>
    <w:rsid w:val="004D16B8"/>
    <w:rsid w:val="004D35C1"/>
    <w:rsid w:val="004D661B"/>
    <w:rsid w:val="004E0FB7"/>
    <w:rsid w:val="004E3E8B"/>
    <w:rsid w:val="004E76B9"/>
    <w:rsid w:val="004E7AA1"/>
    <w:rsid w:val="004E7C79"/>
    <w:rsid w:val="004F07D8"/>
    <w:rsid w:val="004F2086"/>
    <w:rsid w:val="004F26C7"/>
    <w:rsid w:val="004F3B91"/>
    <w:rsid w:val="004F6876"/>
    <w:rsid w:val="004F7057"/>
    <w:rsid w:val="004F7C29"/>
    <w:rsid w:val="004F7C58"/>
    <w:rsid w:val="0050043A"/>
    <w:rsid w:val="00501384"/>
    <w:rsid w:val="00503211"/>
    <w:rsid w:val="005034E3"/>
    <w:rsid w:val="00503A2B"/>
    <w:rsid w:val="00507525"/>
    <w:rsid w:val="00507594"/>
    <w:rsid w:val="00510609"/>
    <w:rsid w:val="00510D94"/>
    <w:rsid w:val="00510F8E"/>
    <w:rsid w:val="00512D0E"/>
    <w:rsid w:val="0051591E"/>
    <w:rsid w:val="00516C8D"/>
    <w:rsid w:val="0052336B"/>
    <w:rsid w:val="00523D65"/>
    <w:rsid w:val="0052410F"/>
    <w:rsid w:val="00524187"/>
    <w:rsid w:val="005256CF"/>
    <w:rsid w:val="00525B63"/>
    <w:rsid w:val="00526A59"/>
    <w:rsid w:val="00526BA2"/>
    <w:rsid w:val="00527EA9"/>
    <w:rsid w:val="00527F46"/>
    <w:rsid w:val="00531650"/>
    <w:rsid w:val="005318ED"/>
    <w:rsid w:val="005320D7"/>
    <w:rsid w:val="005331B5"/>
    <w:rsid w:val="005332E7"/>
    <w:rsid w:val="005356F4"/>
    <w:rsid w:val="00540C5A"/>
    <w:rsid w:val="00541A36"/>
    <w:rsid w:val="0054258F"/>
    <w:rsid w:val="00542C0A"/>
    <w:rsid w:val="0054564F"/>
    <w:rsid w:val="005463E6"/>
    <w:rsid w:val="005501F9"/>
    <w:rsid w:val="00553C8B"/>
    <w:rsid w:val="00557D6C"/>
    <w:rsid w:val="00560BF0"/>
    <w:rsid w:val="00566857"/>
    <w:rsid w:val="005671B9"/>
    <w:rsid w:val="00571586"/>
    <w:rsid w:val="00573115"/>
    <w:rsid w:val="00573521"/>
    <w:rsid w:val="005800F5"/>
    <w:rsid w:val="00585D46"/>
    <w:rsid w:val="00586C0C"/>
    <w:rsid w:val="00590EDE"/>
    <w:rsid w:val="00591097"/>
    <w:rsid w:val="005912CD"/>
    <w:rsid w:val="00592C48"/>
    <w:rsid w:val="005930C3"/>
    <w:rsid w:val="005930FD"/>
    <w:rsid w:val="005936D3"/>
    <w:rsid w:val="00596B55"/>
    <w:rsid w:val="00596B8F"/>
    <w:rsid w:val="00596C9A"/>
    <w:rsid w:val="00597AA5"/>
    <w:rsid w:val="005A04E6"/>
    <w:rsid w:val="005A131F"/>
    <w:rsid w:val="005A2EB4"/>
    <w:rsid w:val="005A3E53"/>
    <w:rsid w:val="005A6D1A"/>
    <w:rsid w:val="005B29CA"/>
    <w:rsid w:val="005B2A4E"/>
    <w:rsid w:val="005B3229"/>
    <w:rsid w:val="005B47B7"/>
    <w:rsid w:val="005B5169"/>
    <w:rsid w:val="005B7229"/>
    <w:rsid w:val="005C02FA"/>
    <w:rsid w:val="005C1060"/>
    <w:rsid w:val="005C12E0"/>
    <w:rsid w:val="005C17DE"/>
    <w:rsid w:val="005C2DE9"/>
    <w:rsid w:val="005C310B"/>
    <w:rsid w:val="005C42D6"/>
    <w:rsid w:val="005C5785"/>
    <w:rsid w:val="005D1372"/>
    <w:rsid w:val="005D1840"/>
    <w:rsid w:val="005D3445"/>
    <w:rsid w:val="005D49E7"/>
    <w:rsid w:val="005D5B92"/>
    <w:rsid w:val="005D67CF"/>
    <w:rsid w:val="005E07E5"/>
    <w:rsid w:val="005E4C7A"/>
    <w:rsid w:val="005E5012"/>
    <w:rsid w:val="005E728B"/>
    <w:rsid w:val="005F33E6"/>
    <w:rsid w:val="005F548A"/>
    <w:rsid w:val="005F6537"/>
    <w:rsid w:val="005F65B4"/>
    <w:rsid w:val="005F68DD"/>
    <w:rsid w:val="005F7A55"/>
    <w:rsid w:val="00600025"/>
    <w:rsid w:val="00601821"/>
    <w:rsid w:val="00602F9A"/>
    <w:rsid w:val="0060327C"/>
    <w:rsid w:val="00603BE1"/>
    <w:rsid w:val="006058DE"/>
    <w:rsid w:val="006070B2"/>
    <w:rsid w:val="0061003B"/>
    <w:rsid w:val="00610A18"/>
    <w:rsid w:val="006126EE"/>
    <w:rsid w:val="00612BF6"/>
    <w:rsid w:val="00613549"/>
    <w:rsid w:val="006156CD"/>
    <w:rsid w:val="006174A5"/>
    <w:rsid w:val="006256B8"/>
    <w:rsid w:val="00625900"/>
    <w:rsid w:val="00626396"/>
    <w:rsid w:val="00626CE3"/>
    <w:rsid w:val="006276EC"/>
    <w:rsid w:val="00627DA7"/>
    <w:rsid w:val="0063075E"/>
    <w:rsid w:val="00631DAD"/>
    <w:rsid w:val="0063249A"/>
    <w:rsid w:val="00632FBE"/>
    <w:rsid w:val="00633AAF"/>
    <w:rsid w:val="00633E2B"/>
    <w:rsid w:val="00633E36"/>
    <w:rsid w:val="00636B58"/>
    <w:rsid w:val="006402EE"/>
    <w:rsid w:val="00640C0F"/>
    <w:rsid w:val="00645366"/>
    <w:rsid w:val="006469D4"/>
    <w:rsid w:val="006476F3"/>
    <w:rsid w:val="00655C7C"/>
    <w:rsid w:val="00656660"/>
    <w:rsid w:val="00656B62"/>
    <w:rsid w:val="00657422"/>
    <w:rsid w:val="00657A2F"/>
    <w:rsid w:val="0066012D"/>
    <w:rsid w:val="006625F5"/>
    <w:rsid w:val="006639E8"/>
    <w:rsid w:val="00663A0B"/>
    <w:rsid w:val="00665FC7"/>
    <w:rsid w:val="00670A1A"/>
    <w:rsid w:val="00670BBC"/>
    <w:rsid w:val="00671B44"/>
    <w:rsid w:val="00674869"/>
    <w:rsid w:val="0067508E"/>
    <w:rsid w:val="00675406"/>
    <w:rsid w:val="00675C45"/>
    <w:rsid w:val="00675E29"/>
    <w:rsid w:val="00675FB2"/>
    <w:rsid w:val="006760B5"/>
    <w:rsid w:val="00676EF5"/>
    <w:rsid w:val="006771A2"/>
    <w:rsid w:val="00685DB7"/>
    <w:rsid w:val="00686E06"/>
    <w:rsid w:val="00692AA5"/>
    <w:rsid w:val="00693696"/>
    <w:rsid w:val="00694609"/>
    <w:rsid w:val="00695003"/>
    <w:rsid w:val="00695159"/>
    <w:rsid w:val="00695902"/>
    <w:rsid w:val="00696E20"/>
    <w:rsid w:val="006A07A8"/>
    <w:rsid w:val="006A1B15"/>
    <w:rsid w:val="006A1D57"/>
    <w:rsid w:val="006A232C"/>
    <w:rsid w:val="006A3408"/>
    <w:rsid w:val="006A474C"/>
    <w:rsid w:val="006A549F"/>
    <w:rsid w:val="006A5C9C"/>
    <w:rsid w:val="006A63F9"/>
    <w:rsid w:val="006A6B95"/>
    <w:rsid w:val="006B1488"/>
    <w:rsid w:val="006B3253"/>
    <w:rsid w:val="006B45F1"/>
    <w:rsid w:val="006B4889"/>
    <w:rsid w:val="006B5C7D"/>
    <w:rsid w:val="006B668F"/>
    <w:rsid w:val="006B747C"/>
    <w:rsid w:val="006B7FF4"/>
    <w:rsid w:val="006C062D"/>
    <w:rsid w:val="006C064D"/>
    <w:rsid w:val="006C40D0"/>
    <w:rsid w:val="006C4E33"/>
    <w:rsid w:val="006C7F8A"/>
    <w:rsid w:val="006D0427"/>
    <w:rsid w:val="006D0FB3"/>
    <w:rsid w:val="006D1987"/>
    <w:rsid w:val="006D1CA5"/>
    <w:rsid w:val="006D20BB"/>
    <w:rsid w:val="006D41AB"/>
    <w:rsid w:val="006D5ABB"/>
    <w:rsid w:val="006E00B8"/>
    <w:rsid w:val="006E3142"/>
    <w:rsid w:val="006E489C"/>
    <w:rsid w:val="006E4939"/>
    <w:rsid w:val="006E53BD"/>
    <w:rsid w:val="006E5F8C"/>
    <w:rsid w:val="006E6A64"/>
    <w:rsid w:val="006E79D9"/>
    <w:rsid w:val="006F1B7D"/>
    <w:rsid w:val="006F1DA8"/>
    <w:rsid w:val="006F3488"/>
    <w:rsid w:val="006F37C7"/>
    <w:rsid w:val="006F61BC"/>
    <w:rsid w:val="006F65AD"/>
    <w:rsid w:val="006F6600"/>
    <w:rsid w:val="006F68DE"/>
    <w:rsid w:val="006F7190"/>
    <w:rsid w:val="006F792D"/>
    <w:rsid w:val="007008BB"/>
    <w:rsid w:val="007015F7"/>
    <w:rsid w:val="007020E3"/>
    <w:rsid w:val="00704AA0"/>
    <w:rsid w:val="00705234"/>
    <w:rsid w:val="0070544A"/>
    <w:rsid w:val="00706981"/>
    <w:rsid w:val="007100F9"/>
    <w:rsid w:val="00710A4F"/>
    <w:rsid w:val="00710CAF"/>
    <w:rsid w:val="00711AA2"/>
    <w:rsid w:val="00711D78"/>
    <w:rsid w:val="00712BC4"/>
    <w:rsid w:val="00713639"/>
    <w:rsid w:val="00714219"/>
    <w:rsid w:val="00714D71"/>
    <w:rsid w:val="00717034"/>
    <w:rsid w:val="00717277"/>
    <w:rsid w:val="007178DF"/>
    <w:rsid w:val="00724545"/>
    <w:rsid w:val="00726114"/>
    <w:rsid w:val="007274B0"/>
    <w:rsid w:val="007278A0"/>
    <w:rsid w:val="00730A4D"/>
    <w:rsid w:val="007320D7"/>
    <w:rsid w:val="00732741"/>
    <w:rsid w:val="00734352"/>
    <w:rsid w:val="00734400"/>
    <w:rsid w:val="007362E0"/>
    <w:rsid w:val="00736316"/>
    <w:rsid w:val="00736656"/>
    <w:rsid w:val="00736EA1"/>
    <w:rsid w:val="00740C19"/>
    <w:rsid w:val="007425B3"/>
    <w:rsid w:val="00744BCF"/>
    <w:rsid w:val="00745347"/>
    <w:rsid w:val="00746401"/>
    <w:rsid w:val="00746B2F"/>
    <w:rsid w:val="00751FF3"/>
    <w:rsid w:val="00752126"/>
    <w:rsid w:val="00752FA3"/>
    <w:rsid w:val="00753D4D"/>
    <w:rsid w:val="00754084"/>
    <w:rsid w:val="00756B78"/>
    <w:rsid w:val="00761664"/>
    <w:rsid w:val="00761A5A"/>
    <w:rsid w:val="00761F50"/>
    <w:rsid w:val="007629A4"/>
    <w:rsid w:val="00762E01"/>
    <w:rsid w:val="00763089"/>
    <w:rsid w:val="00763136"/>
    <w:rsid w:val="007640A7"/>
    <w:rsid w:val="00765950"/>
    <w:rsid w:val="00767D1C"/>
    <w:rsid w:val="00771490"/>
    <w:rsid w:val="00771EE9"/>
    <w:rsid w:val="007724C3"/>
    <w:rsid w:val="00773A00"/>
    <w:rsid w:val="00773A5A"/>
    <w:rsid w:val="00776485"/>
    <w:rsid w:val="00781B9B"/>
    <w:rsid w:val="00783EA9"/>
    <w:rsid w:val="00785154"/>
    <w:rsid w:val="00785396"/>
    <w:rsid w:val="00785F9F"/>
    <w:rsid w:val="007916F0"/>
    <w:rsid w:val="007945BF"/>
    <w:rsid w:val="007A0A07"/>
    <w:rsid w:val="007A10F7"/>
    <w:rsid w:val="007A1610"/>
    <w:rsid w:val="007A2DA5"/>
    <w:rsid w:val="007A3BE5"/>
    <w:rsid w:val="007A4606"/>
    <w:rsid w:val="007A4769"/>
    <w:rsid w:val="007A56AA"/>
    <w:rsid w:val="007A5F5F"/>
    <w:rsid w:val="007A6284"/>
    <w:rsid w:val="007A6D6D"/>
    <w:rsid w:val="007B1C34"/>
    <w:rsid w:val="007B459F"/>
    <w:rsid w:val="007B70D8"/>
    <w:rsid w:val="007C0901"/>
    <w:rsid w:val="007C2968"/>
    <w:rsid w:val="007C3D3F"/>
    <w:rsid w:val="007C4778"/>
    <w:rsid w:val="007C7C38"/>
    <w:rsid w:val="007D0095"/>
    <w:rsid w:val="007D2161"/>
    <w:rsid w:val="007D304B"/>
    <w:rsid w:val="007D57CE"/>
    <w:rsid w:val="007D59D3"/>
    <w:rsid w:val="007D6D91"/>
    <w:rsid w:val="007D7A6F"/>
    <w:rsid w:val="007E00BB"/>
    <w:rsid w:val="007E3E2B"/>
    <w:rsid w:val="007E5DDC"/>
    <w:rsid w:val="007F2C87"/>
    <w:rsid w:val="007F37C6"/>
    <w:rsid w:val="007F3D3C"/>
    <w:rsid w:val="007F49D6"/>
    <w:rsid w:val="007F768A"/>
    <w:rsid w:val="007F79E7"/>
    <w:rsid w:val="0080100C"/>
    <w:rsid w:val="0080140D"/>
    <w:rsid w:val="00801543"/>
    <w:rsid w:val="008028CE"/>
    <w:rsid w:val="00802C19"/>
    <w:rsid w:val="00804148"/>
    <w:rsid w:val="00806D28"/>
    <w:rsid w:val="00807718"/>
    <w:rsid w:val="00811BC3"/>
    <w:rsid w:val="0081252A"/>
    <w:rsid w:val="00813A2F"/>
    <w:rsid w:val="00814364"/>
    <w:rsid w:val="00815540"/>
    <w:rsid w:val="00817067"/>
    <w:rsid w:val="00820F75"/>
    <w:rsid w:val="00821EB8"/>
    <w:rsid w:val="00822394"/>
    <w:rsid w:val="00824AB6"/>
    <w:rsid w:val="008257B7"/>
    <w:rsid w:val="00825E8A"/>
    <w:rsid w:val="00826747"/>
    <w:rsid w:val="00826F32"/>
    <w:rsid w:val="0083780C"/>
    <w:rsid w:val="0084015E"/>
    <w:rsid w:val="008408C4"/>
    <w:rsid w:val="008412AA"/>
    <w:rsid w:val="008420DF"/>
    <w:rsid w:val="00843992"/>
    <w:rsid w:val="00843C7C"/>
    <w:rsid w:val="008444B2"/>
    <w:rsid w:val="00846E2C"/>
    <w:rsid w:val="0084712D"/>
    <w:rsid w:val="00847CC8"/>
    <w:rsid w:val="00851D52"/>
    <w:rsid w:val="00852E2B"/>
    <w:rsid w:val="00854AA1"/>
    <w:rsid w:val="00861A27"/>
    <w:rsid w:val="008633DA"/>
    <w:rsid w:val="008647C3"/>
    <w:rsid w:val="00864826"/>
    <w:rsid w:val="00865412"/>
    <w:rsid w:val="00865557"/>
    <w:rsid w:val="00866419"/>
    <w:rsid w:val="00866463"/>
    <w:rsid w:val="00871659"/>
    <w:rsid w:val="00872540"/>
    <w:rsid w:val="0087264D"/>
    <w:rsid w:val="008730FC"/>
    <w:rsid w:val="00873820"/>
    <w:rsid w:val="00873D2D"/>
    <w:rsid w:val="00873DBD"/>
    <w:rsid w:val="00874791"/>
    <w:rsid w:val="00875D7B"/>
    <w:rsid w:val="00875F5E"/>
    <w:rsid w:val="00877AE9"/>
    <w:rsid w:val="00880E77"/>
    <w:rsid w:val="00882EB0"/>
    <w:rsid w:val="00884523"/>
    <w:rsid w:val="00884D31"/>
    <w:rsid w:val="00885283"/>
    <w:rsid w:val="00886688"/>
    <w:rsid w:val="00891600"/>
    <w:rsid w:val="00897345"/>
    <w:rsid w:val="008979A7"/>
    <w:rsid w:val="008979CD"/>
    <w:rsid w:val="008A5267"/>
    <w:rsid w:val="008A5C92"/>
    <w:rsid w:val="008B20CB"/>
    <w:rsid w:val="008B2CE8"/>
    <w:rsid w:val="008B31F9"/>
    <w:rsid w:val="008B5F84"/>
    <w:rsid w:val="008B6C1C"/>
    <w:rsid w:val="008B6EB4"/>
    <w:rsid w:val="008C0061"/>
    <w:rsid w:val="008C038A"/>
    <w:rsid w:val="008C16FD"/>
    <w:rsid w:val="008C2221"/>
    <w:rsid w:val="008C2A4B"/>
    <w:rsid w:val="008C3126"/>
    <w:rsid w:val="008C780C"/>
    <w:rsid w:val="008D1318"/>
    <w:rsid w:val="008D2816"/>
    <w:rsid w:val="008D2E95"/>
    <w:rsid w:val="008D325C"/>
    <w:rsid w:val="008D3892"/>
    <w:rsid w:val="008D4A48"/>
    <w:rsid w:val="008D53D4"/>
    <w:rsid w:val="008D5DFC"/>
    <w:rsid w:val="008D6708"/>
    <w:rsid w:val="008E11FF"/>
    <w:rsid w:val="008E15F2"/>
    <w:rsid w:val="008E1CC4"/>
    <w:rsid w:val="008E3735"/>
    <w:rsid w:val="008E39E1"/>
    <w:rsid w:val="008E5B20"/>
    <w:rsid w:val="008F3F8C"/>
    <w:rsid w:val="008F5026"/>
    <w:rsid w:val="008F5A23"/>
    <w:rsid w:val="008F6596"/>
    <w:rsid w:val="008F7ABA"/>
    <w:rsid w:val="008F7F5E"/>
    <w:rsid w:val="009020A7"/>
    <w:rsid w:val="00902333"/>
    <w:rsid w:val="00904837"/>
    <w:rsid w:val="00904D1F"/>
    <w:rsid w:val="0090518F"/>
    <w:rsid w:val="00905606"/>
    <w:rsid w:val="00905C24"/>
    <w:rsid w:val="0090620D"/>
    <w:rsid w:val="009073F3"/>
    <w:rsid w:val="00907C18"/>
    <w:rsid w:val="009104D5"/>
    <w:rsid w:val="00910B46"/>
    <w:rsid w:val="009127B0"/>
    <w:rsid w:val="00913537"/>
    <w:rsid w:val="009135C1"/>
    <w:rsid w:val="0091732E"/>
    <w:rsid w:val="0092350A"/>
    <w:rsid w:val="00926547"/>
    <w:rsid w:val="0093019E"/>
    <w:rsid w:val="00932269"/>
    <w:rsid w:val="00932D5F"/>
    <w:rsid w:val="0093409E"/>
    <w:rsid w:val="00934F37"/>
    <w:rsid w:val="00936475"/>
    <w:rsid w:val="00936524"/>
    <w:rsid w:val="00936927"/>
    <w:rsid w:val="009418AC"/>
    <w:rsid w:val="0094327E"/>
    <w:rsid w:val="00943A17"/>
    <w:rsid w:val="009447E1"/>
    <w:rsid w:val="00944DF1"/>
    <w:rsid w:val="009460B6"/>
    <w:rsid w:val="0094668F"/>
    <w:rsid w:val="009543B6"/>
    <w:rsid w:val="0096221F"/>
    <w:rsid w:val="00965A34"/>
    <w:rsid w:val="009713A5"/>
    <w:rsid w:val="00972AA8"/>
    <w:rsid w:val="0097367B"/>
    <w:rsid w:val="0097492C"/>
    <w:rsid w:val="00980F87"/>
    <w:rsid w:val="00983423"/>
    <w:rsid w:val="009834B5"/>
    <w:rsid w:val="009837E5"/>
    <w:rsid w:val="00985121"/>
    <w:rsid w:val="009863D4"/>
    <w:rsid w:val="0098734C"/>
    <w:rsid w:val="0098775A"/>
    <w:rsid w:val="0099022A"/>
    <w:rsid w:val="00994D49"/>
    <w:rsid w:val="00995C81"/>
    <w:rsid w:val="009A09EA"/>
    <w:rsid w:val="009A0A07"/>
    <w:rsid w:val="009A0C5E"/>
    <w:rsid w:val="009A21B1"/>
    <w:rsid w:val="009A27F6"/>
    <w:rsid w:val="009A38B1"/>
    <w:rsid w:val="009A3B91"/>
    <w:rsid w:val="009A49BC"/>
    <w:rsid w:val="009A58CF"/>
    <w:rsid w:val="009B0577"/>
    <w:rsid w:val="009B1619"/>
    <w:rsid w:val="009B1A93"/>
    <w:rsid w:val="009B4B63"/>
    <w:rsid w:val="009C2064"/>
    <w:rsid w:val="009C4004"/>
    <w:rsid w:val="009C6143"/>
    <w:rsid w:val="009C6A6F"/>
    <w:rsid w:val="009D04EC"/>
    <w:rsid w:val="009D17A7"/>
    <w:rsid w:val="009D213F"/>
    <w:rsid w:val="009D276F"/>
    <w:rsid w:val="009D27BA"/>
    <w:rsid w:val="009D33E9"/>
    <w:rsid w:val="009D3516"/>
    <w:rsid w:val="009D378C"/>
    <w:rsid w:val="009D409E"/>
    <w:rsid w:val="009D44A9"/>
    <w:rsid w:val="009D4A3C"/>
    <w:rsid w:val="009D50E3"/>
    <w:rsid w:val="009D5F0C"/>
    <w:rsid w:val="009D6429"/>
    <w:rsid w:val="009E2396"/>
    <w:rsid w:val="009E502A"/>
    <w:rsid w:val="009E649E"/>
    <w:rsid w:val="009E6958"/>
    <w:rsid w:val="009E6E07"/>
    <w:rsid w:val="009E77BC"/>
    <w:rsid w:val="009F06D1"/>
    <w:rsid w:val="009F0765"/>
    <w:rsid w:val="009F0D90"/>
    <w:rsid w:val="009F4234"/>
    <w:rsid w:val="009F4363"/>
    <w:rsid w:val="009F5030"/>
    <w:rsid w:val="009F5157"/>
    <w:rsid w:val="009F563B"/>
    <w:rsid w:val="009F6840"/>
    <w:rsid w:val="009F7210"/>
    <w:rsid w:val="009F791D"/>
    <w:rsid w:val="009F7EE8"/>
    <w:rsid w:val="00A000F2"/>
    <w:rsid w:val="00A008FA"/>
    <w:rsid w:val="00A035C9"/>
    <w:rsid w:val="00A038E0"/>
    <w:rsid w:val="00A03C36"/>
    <w:rsid w:val="00A03D0E"/>
    <w:rsid w:val="00A042FB"/>
    <w:rsid w:val="00A05076"/>
    <w:rsid w:val="00A05529"/>
    <w:rsid w:val="00A078F3"/>
    <w:rsid w:val="00A07C1D"/>
    <w:rsid w:val="00A10A20"/>
    <w:rsid w:val="00A11A13"/>
    <w:rsid w:val="00A137B4"/>
    <w:rsid w:val="00A168D1"/>
    <w:rsid w:val="00A20CAB"/>
    <w:rsid w:val="00A21BF9"/>
    <w:rsid w:val="00A21EDC"/>
    <w:rsid w:val="00A22F9B"/>
    <w:rsid w:val="00A230CE"/>
    <w:rsid w:val="00A2600C"/>
    <w:rsid w:val="00A263FA"/>
    <w:rsid w:val="00A3472D"/>
    <w:rsid w:val="00A360C4"/>
    <w:rsid w:val="00A3706B"/>
    <w:rsid w:val="00A3724F"/>
    <w:rsid w:val="00A37DF9"/>
    <w:rsid w:val="00A40122"/>
    <w:rsid w:val="00A408F3"/>
    <w:rsid w:val="00A41ECC"/>
    <w:rsid w:val="00A423B8"/>
    <w:rsid w:val="00A43310"/>
    <w:rsid w:val="00A43939"/>
    <w:rsid w:val="00A43B18"/>
    <w:rsid w:val="00A551BC"/>
    <w:rsid w:val="00A553B3"/>
    <w:rsid w:val="00A558AE"/>
    <w:rsid w:val="00A55AD6"/>
    <w:rsid w:val="00A570E3"/>
    <w:rsid w:val="00A57BE5"/>
    <w:rsid w:val="00A60590"/>
    <w:rsid w:val="00A60FE8"/>
    <w:rsid w:val="00A63C73"/>
    <w:rsid w:val="00A64F1A"/>
    <w:rsid w:val="00A65F4B"/>
    <w:rsid w:val="00A661FE"/>
    <w:rsid w:val="00A675BE"/>
    <w:rsid w:val="00A7067F"/>
    <w:rsid w:val="00A72291"/>
    <w:rsid w:val="00A745A7"/>
    <w:rsid w:val="00A74E99"/>
    <w:rsid w:val="00A7588B"/>
    <w:rsid w:val="00A8107E"/>
    <w:rsid w:val="00A820C6"/>
    <w:rsid w:val="00A83257"/>
    <w:rsid w:val="00A876C0"/>
    <w:rsid w:val="00A9569A"/>
    <w:rsid w:val="00A9577D"/>
    <w:rsid w:val="00A96995"/>
    <w:rsid w:val="00A96FC8"/>
    <w:rsid w:val="00AA15B1"/>
    <w:rsid w:val="00AA2FF8"/>
    <w:rsid w:val="00AA4243"/>
    <w:rsid w:val="00AA77DE"/>
    <w:rsid w:val="00AA7CB1"/>
    <w:rsid w:val="00AB03E1"/>
    <w:rsid w:val="00AB3657"/>
    <w:rsid w:val="00AB6063"/>
    <w:rsid w:val="00AB611A"/>
    <w:rsid w:val="00AB6DAC"/>
    <w:rsid w:val="00AB717C"/>
    <w:rsid w:val="00AC0D4A"/>
    <w:rsid w:val="00AC399C"/>
    <w:rsid w:val="00AC475F"/>
    <w:rsid w:val="00AC48DF"/>
    <w:rsid w:val="00AC7E1F"/>
    <w:rsid w:val="00AD4339"/>
    <w:rsid w:val="00AD5F99"/>
    <w:rsid w:val="00AD676F"/>
    <w:rsid w:val="00AD7438"/>
    <w:rsid w:val="00AD7A7B"/>
    <w:rsid w:val="00AD7A9C"/>
    <w:rsid w:val="00AE1E2C"/>
    <w:rsid w:val="00AE265D"/>
    <w:rsid w:val="00AE3230"/>
    <w:rsid w:val="00AE73EE"/>
    <w:rsid w:val="00AF0773"/>
    <w:rsid w:val="00AF0DC2"/>
    <w:rsid w:val="00AF17C3"/>
    <w:rsid w:val="00AF4AF9"/>
    <w:rsid w:val="00AF64F4"/>
    <w:rsid w:val="00AF67E6"/>
    <w:rsid w:val="00B003BA"/>
    <w:rsid w:val="00B01210"/>
    <w:rsid w:val="00B0196A"/>
    <w:rsid w:val="00B057AC"/>
    <w:rsid w:val="00B05B4B"/>
    <w:rsid w:val="00B078DA"/>
    <w:rsid w:val="00B07DE2"/>
    <w:rsid w:val="00B1082F"/>
    <w:rsid w:val="00B10D3C"/>
    <w:rsid w:val="00B1127C"/>
    <w:rsid w:val="00B11BB6"/>
    <w:rsid w:val="00B11C47"/>
    <w:rsid w:val="00B142A7"/>
    <w:rsid w:val="00B142C4"/>
    <w:rsid w:val="00B14775"/>
    <w:rsid w:val="00B14D87"/>
    <w:rsid w:val="00B151C8"/>
    <w:rsid w:val="00B1522A"/>
    <w:rsid w:val="00B16322"/>
    <w:rsid w:val="00B16BD6"/>
    <w:rsid w:val="00B16EFE"/>
    <w:rsid w:val="00B22994"/>
    <w:rsid w:val="00B2357D"/>
    <w:rsid w:val="00B23767"/>
    <w:rsid w:val="00B24C51"/>
    <w:rsid w:val="00B25210"/>
    <w:rsid w:val="00B2732B"/>
    <w:rsid w:val="00B27770"/>
    <w:rsid w:val="00B30B73"/>
    <w:rsid w:val="00B312B8"/>
    <w:rsid w:val="00B321B6"/>
    <w:rsid w:val="00B33C4F"/>
    <w:rsid w:val="00B3562A"/>
    <w:rsid w:val="00B4006A"/>
    <w:rsid w:val="00B40316"/>
    <w:rsid w:val="00B4170F"/>
    <w:rsid w:val="00B418DB"/>
    <w:rsid w:val="00B43983"/>
    <w:rsid w:val="00B43FF5"/>
    <w:rsid w:val="00B45809"/>
    <w:rsid w:val="00B47DC1"/>
    <w:rsid w:val="00B505CE"/>
    <w:rsid w:val="00B50901"/>
    <w:rsid w:val="00B51C1F"/>
    <w:rsid w:val="00B522C8"/>
    <w:rsid w:val="00B52E4B"/>
    <w:rsid w:val="00B53369"/>
    <w:rsid w:val="00B5723E"/>
    <w:rsid w:val="00B602A4"/>
    <w:rsid w:val="00B6121B"/>
    <w:rsid w:val="00B628A1"/>
    <w:rsid w:val="00B63531"/>
    <w:rsid w:val="00B65D68"/>
    <w:rsid w:val="00B665A8"/>
    <w:rsid w:val="00B6710F"/>
    <w:rsid w:val="00B71B98"/>
    <w:rsid w:val="00B737DF"/>
    <w:rsid w:val="00B76C2B"/>
    <w:rsid w:val="00B82E98"/>
    <w:rsid w:val="00B8415E"/>
    <w:rsid w:val="00B8451A"/>
    <w:rsid w:val="00B865A5"/>
    <w:rsid w:val="00B90624"/>
    <w:rsid w:val="00B906A7"/>
    <w:rsid w:val="00B9270A"/>
    <w:rsid w:val="00B92DC8"/>
    <w:rsid w:val="00B95A95"/>
    <w:rsid w:val="00B96FD7"/>
    <w:rsid w:val="00BA0549"/>
    <w:rsid w:val="00BA281F"/>
    <w:rsid w:val="00BA2FBD"/>
    <w:rsid w:val="00BA3FEB"/>
    <w:rsid w:val="00BA4473"/>
    <w:rsid w:val="00BA773F"/>
    <w:rsid w:val="00BB098B"/>
    <w:rsid w:val="00BB0FE8"/>
    <w:rsid w:val="00BB1B6B"/>
    <w:rsid w:val="00BB1F83"/>
    <w:rsid w:val="00BB4527"/>
    <w:rsid w:val="00BB6064"/>
    <w:rsid w:val="00BB65B3"/>
    <w:rsid w:val="00BC0AA6"/>
    <w:rsid w:val="00BC5179"/>
    <w:rsid w:val="00BC56AA"/>
    <w:rsid w:val="00BC6E78"/>
    <w:rsid w:val="00BD1433"/>
    <w:rsid w:val="00BD2980"/>
    <w:rsid w:val="00BD30E6"/>
    <w:rsid w:val="00BD4859"/>
    <w:rsid w:val="00BD7987"/>
    <w:rsid w:val="00BE1F98"/>
    <w:rsid w:val="00BE6FC6"/>
    <w:rsid w:val="00BE7010"/>
    <w:rsid w:val="00BF0590"/>
    <w:rsid w:val="00BF0C2D"/>
    <w:rsid w:val="00BF117C"/>
    <w:rsid w:val="00BF17E7"/>
    <w:rsid w:val="00BF7449"/>
    <w:rsid w:val="00C00CA3"/>
    <w:rsid w:val="00C04AD1"/>
    <w:rsid w:val="00C04E94"/>
    <w:rsid w:val="00C06C5E"/>
    <w:rsid w:val="00C071AD"/>
    <w:rsid w:val="00C117AF"/>
    <w:rsid w:val="00C13AA9"/>
    <w:rsid w:val="00C14FD7"/>
    <w:rsid w:val="00C15042"/>
    <w:rsid w:val="00C15088"/>
    <w:rsid w:val="00C15BD4"/>
    <w:rsid w:val="00C16B33"/>
    <w:rsid w:val="00C21A75"/>
    <w:rsid w:val="00C21BC3"/>
    <w:rsid w:val="00C23E07"/>
    <w:rsid w:val="00C2464A"/>
    <w:rsid w:val="00C2465C"/>
    <w:rsid w:val="00C258AE"/>
    <w:rsid w:val="00C335C3"/>
    <w:rsid w:val="00C3375F"/>
    <w:rsid w:val="00C3536C"/>
    <w:rsid w:val="00C36194"/>
    <w:rsid w:val="00C376D3"/>
    <w:rsid w:val="00C43EA9"/>
    <w:rsid w:val="00C45FB2"/>
    <w:rsid w:val="00C5063D"/>
    <w:rsid w:val="00C5141C"/>
    <w:rsid w:val="00C51D2B"/>
    <w:rsid w:val="00C53C6B"/>
    <w:rsid w:val="00C54BEF"/>
    <w:rsid w:val="00C5554D"/>
    <w:rsid w:val="00C570CA"/>
    <w:rsid w:val="00C5735B"/>
    <w:rsid w:val="00C57E07"/>
    <w:rsid w:val="00C608F9"/>
    <w:rsid w:val="00C662E6"/>
    <w:rsid w:val="00C669A3"/>
    <w:rsid w:val="00C66BF0"/>
    <w:rsid w:val="00C70AB4"/>
    <w:rsid w:val="00C71199"/>
    <w:rsid w:val="00C73818"/>
    <w:rsid w:val="00C745B4"/>
    <w:rsid w:val="00C7530C"/>
    <w:rsid w:val="00C76810"/>
    <w:rsid w:val="00C76C13"/>
    <w:rsid w:val="00C804CA"/>
    <w:rsid w:val="00C832ED"/>
    <w:rsid w:val="00C84622"/>
    <w:rsid w:val="00C8772C"/>
    <w:rsid w:val="00C87820"/>
    <w:rsid w:val="00C935C0"/>
    <w:rsid w:val="00C93C51"/>
    <w:rsid w:val="00C94431"/>
    <w:rsid w:val="00C96029"/>
    <w:rsid w:val="00C968B3"/>
    <w:rsid w:val="00CA0335"/>
    <w:rsid w:val="00CA268B"/>
    <w:rsid w:val="00CA2AA6"/>
    <w:rsid w:val="00CA4BA0"/>
    <w:rsid w:val="00CA6465"/>
    <w:rsid w:val="00CB29DA"/>
    <w:rsid w:val="00CB2BD4"/>
    <w:rsid w:val="00CB2C05"/>
    <w:rsid w:val="00CB429B"/>
    <w:rsid w:val="00CB4E17"/>
    <w:rsid w:val="00CC105D"/>
    <w:rsid w:val="00CC1D8E"/>
    <w:rsid w:val="00CC20E4"/>
    <w:rsid w:val="00CC3581"/>
    <w:rsid w:val="00CC4CB1"/>
    <w:rsid w:val="00CC669D"/>
    <w:rsid w:val="00CD2F1C"/>
    <w:rsid w:val="00CD3981"/>
    <w:rsid w:val="00CD3A43"/>
    <w:rsid w:val="00CD4CFD"/>
    <w:rsid w:val="00CD4D4E"/>
    <w:rsid w:val="00CD5905"/>
    <w:rsid w:val="00CD714E"/>
    <w:rsid w:val="00CD74F8"/>
    <w:rsid w:val="00CE1001"/>
    <w:rsid w:val="00CE1E4E"/>
    <w:rsid w:val="00CE3D65"/>
    <w:rsid w:val="00CE4A73"/>
    <w:rsid w:val="00CE58FE"/>
    <w:rsid w:val="00CE7241"/>
    <w:rsid w:val="00CF0161"/>
    <w:rsid w:val="00CF14AA"/>
    <w:rsid w:val="00CF175A"/>
    <w:rsid w:val="00CF2CA7"/>
    <w:rsid w:val="00CF3805"/>
    <w:rsid w:val="00CF5637"/>
    <w:rsid w:val="00CF76F9"/>
    <w:rsid w:val="00D00797"/>
    <w:rsid w:val="00D007B9"/>
    <w:rsid w:val="00D01BBA"/>
    <w:rsid w:val="00D01DAD"/>
    <w:rsid w:val="00D02978"/>
    <w:rsid w:val="00D04351"/>
    <w:rsid w:val="00D06083"/>
    <w:rsid w:val="00D1038D"/>
    <w:rsid w:val="00D10BF0"/>
    <w:rsid w:val="00D11FA8"/>
    <w:rsid w:val="00D138B8"/>
    <w:rsid w:val="00D13ABD"/>
    <w:rsid w:val="00D147BD"/>
    <w:rsid w:val="00D14985"/>
    <w:rsid w:val="00D14FB1"/>
    <w:rsid w:val="00D1502B"/>
    <w:rsid w:val="00D16B55"/>
    <w:rsid w:val="00D178BD"/>
    <w:rsid w:val="00D22202"/>
    <w:rsid w:val="00D233DF"/>
    <w:rsid w:val="00D24F0B"/>
    <w:rsid w:val="00D255BB"/>
    <w:rsid w:val="00D260D5"/>
    <w:rsid w:val="00D26117"/>
    <w:rsid w:val="00D338E5"/>
    <w:rsid w:val="00D33E64"/>
    <w:rsid w:val="00D33F42"/>
    <w:rsid w:val="00D34985"/>
    <w:rsid w:val="00D3592F"/>
    <w:rsid w:val="00D36D96"/>
    <w:rsid w:val="00D41F5A"/>
    <w:rsid w:val="00D43153"/>
    <w:rsid w:val="00D4323D"/>
    <w:rsid w:val="00D43B2F"/>
    <w:rsid w:val="00D44482"/>
    <w:rsid w:val="00D4483A"/>
    <w:rsid w:val="00D4515D"/>
    <w:rsid w:val="00D45B5B"/>
    <w:rsid w:val="00D50086"/>
    <w:rsid w:val="00D52E17"/>
    <w:rsid w:val="00D53FA8"/>
    <w:rsid w:val="00D57FEF"/>
    <w:rsid w:val="00D60B93"/>
    <w:rsid w:val="00D63033"/>
    <w:rsid w:val="00D6370F"/>
    <w:rsid w:val="00D63BEF"/>
    <w:rsid w:val="00D671FE"/>
    <w:rsid w:val="00D6793C"/>
    <w:rsid w:val="00D67E63"/>
    <w:rsid w:val="00D71257"/>
    <w:rsid w:val="00D74958"/>
    <w:rsid w:val="00D749A7"/>
    <w:rsid w:val="00D74AF1"/>
    <w:rsid w:val="00D7586E"/>
    <w:rsid w:val="00D803E1"/>
    <w:rsid w:val="00D81630"/>
    <w:rsid w:val="00D840E4"/>
    <w:rsid w:val="00D86A94"/>
    <w:rsid w:val="00D86F02"/>
    <w:rsid w:val="00D9110B"/>
    <w:rsid w:val="00D91B0B"/>
    <w:rsid w:val="00D91B56"/>
    <w:rsid w:val="00D93A6D"/>
    <w:rsid w:val="00D9446B"/>
    <w:rsid w:val="00D94F66"/>
    <w:rsid w:val="00D952E8"/>
    <w:rsid w:val="00D953E2"/>
    <w:rsid w:val="00DA0877"/>
    <w:rsid w:val="00DA2726"/>
    <w:rsid w:val="00DA3775"/>
    <w:rsid w:val="00DA426B"/>
    <w:rsid w:val="00DA7416"/>
    <w:rsid w:val="00DB0075"/>
    <w:rsid w:val="00DB1BB7"/>
    <w:rsid w:val="00DB34BD"/>
    <w:rsid w:val="00DB4001"/>
    <w:rsid w:val="00DB42AB"/>
    <w:rsid w:val="00DB4CCF"/>
    <w:rsid w:val="00DB4E63"/>
    <w:rsid w:val="00DB5802"/>
    <w:rsid w:val="00DC5E22"/>
    <w:rsid w:val="00DC6F27"/>
    <w:rsid w:val="00DC75AE"/>
    <w:rsid w:val="00DD01A0"/>
    <w:rsid w:val="00DD1708"/>
    <w:rsid w:val="00DD380D"/>
    <w:rsid w:val="00DD3FAA"/>
    <w:rsid w:val="00DD5781"/>
    <w:rsid w:val="00DD58AA"/>
    <w:rsid w:val="00DD658D"/>
    <w:rsid w:val="00DD6A37"/>
    <w:rsid w:val="00DE209A"/>
    <w:rsid w:val="00DE227D"/>
    <w:rsid w:val="00DE522E"/>
    <w:rsid w:val="00DE52F7"/>
    <w:rsid w:val="00DE5326"/>
    <w:rsid w:val="00DE5DED"/>
    <w:rsid w:val="00DE6023"/>
    <w:rsid w:val="00DE78A4"/>
    <w:rsid w:val="00DF0210"/>
    <w:rsid w:val="00DF196D"/>
    <w:rsid w:val="00DF1B53"/>
    <w:rsid w:val="00DF304F"/>
    <w:rsid w:val="00DF34DC"/>
    <w:rsid w:val="00DF5643"/>
    <w:rsid w:val="00DF67CF"/>
    <w:rsid w:val="00E00C17"/>
    <w:rsid w:val="00E0318B"/>
    <w:rsid w:val="00E031C8"/>
    <w:rsid w:val="00E056C7"/>
    <w:rsid w:val="00E059BB"/>
    <w:rsid w:val="00E068EE"/>
    <w:rsid w:val="00E10D95"/>
    <w:rsid w:val="00E13FAC"/>
    <w:rsid w:val="00E145E4"/>
    <w:rsid w:val="00E1483F"/>
    <w:rsid w:val="00E14980"/>
    <w:rsid w:val="00E15C98"/>
    <w:rsid w:val="00E20872"/>
    <w:rsid w:val="00E210DB"/>
    <w:rsid w:val="00E2209A"/>
    <w:rsid w:val="00E237DB"/>
    <w:rsid w:val="00E23811"/>
    <w:rsid w:val="00E27B78"/>
    <w:rsid w:val="00E301BD"/>
    <w:rsid w:val="00E30F6B"/>
    <w:rsid w:val="00E31080"/>
    <w:rsid w:val="00E32203"/>
    <w:rsid w:val="00E33582"/>
    <w:rsid w:val="00E34AF8"/>
    <w:rsid w:val="00E364D6"/>
    <w:rsid w:val="00E37E13"/>
    <w:rsid w:val="00E404FC"/>
    <w:rsid w:val="00E40F6D"/>
    <w:rsid w:val="00E41FF2"/>
    <w:rsid w:val="00E42822"/>
    <w:rsid w:val="00E45282"/>
    <w:rsid w:val="00E45412"/>
    <w:rsid w:val="00E50832"/>
    <w:rsid w:val="00E51768"/>
    <w:rsid w:val="00E51DA3"/>
    <w:rsid w:val="00E57263"/>
    <w:rsid w:val="00E6651E"/>
    <w:rsid w:val="00E67195"/>
    <w:rsid w:val="00E715AD"/>
    <w:rsid w:val="00E73FF5"/>
    <w:rsid w:val="00E751E6"/>
    <w:rsid w:val="00E765F1"/>
    <w:rsid w:val="00E76684"/>
    <w:rsid w:val="00E838D2"/>
    <w:rsid w:val="00E8544E"/>
    <w:rsid w:val="00E85903"/>
    <w:rsid w:val="00E85F50"/>
    <w:rsid w:val="00E90C28"/>
    <w:rsid w:val="00E92DC9"/>
    <w:rsid w:val="00E9329C"/>
    <w:rsid w:val="00E93BF4"/>
    <w:rsid w:val="00E94C70"/>
    <w:rsid w:val="00E97ECD"/>
    <w:rsid w:val="00EA0B42"/>
    <w:rsid w:val="00EA2120"/>
    <w:rsid w:val="00EA2AC4"/>
    <w:rsid w:val="00EA3732"/>
    <w:rsid w:val="00EA3948"/>
    <w:rsid w:val="00EA53AD"/>
    <w:rsid w:val="00EA71E5"/>
    <w:rsid w:val="00EB0E9E"/>
    <w:rsid w:val="00EB2F84"/>
    <w:rsid w:val="00EB4F01"/>
    <w:rsid w:val="00EB6955"/>
    <w:rsid w:val="00EB7997"/>
    <w:rsid w:val="00EC008D"/>
    <w:rsid w:val="00EC05D1"/>
    <w:rsid w:val="00EC0F23"/>
    <w:rsid w:val="00EC1DE9"/>
    <w:rsid w:val="00EC364E"/>
    <w:rsid w:val="00EC3BFC"/>
    <w:rsid w:val="00EC42D7"/>
    <w:rsid w:val="00EC56C1"/>
    <w:rsid w:val="00EC6FCF"/>
    <w:rsid w:val="00EC74AD"/>
    <w:rsid w:val="00ED0BF8"/>
    <w:rsid w:val="00ED0E4E"/>
    <w:rsid w:val="00ED37AB"/>
    <w:rsid w:val="00ED4120"/>
    <w:rsid w:val="00ED4831"/>
    <w:rsid w:val="00ED52B0"/>
    <w:rsid w:val="00ED60A6"/>
    <w:rsid w:val="00ED613E"/>
    <w:rsid w:val="00ED73A6"/>
    <w:rsid w:val="00EE079E"/>
    <w:rsid w:val="00EE0A11"/>
    <w:rsid w:val="00EE1665"/>
    <w:rsid w:val="00EE3429"/>
    <w:rsid w:val="00EE58E7"/>
    <w:rsid w:val="00EE7DD1"/>
    <w:rsid w:val="00EF0991"/>
    <w:rsid w:val="00EF0B75"/>
    <w:rsid w:val="00EF2798"/>
    <w:rsid w:val="00EF355A"/>
    <w:rsid w:val="00EF39F9"/>
    <w:rsid w:val="00EF6C8C"/>
    <w:rsid w:val="00EF6E05"/>
    <w:rsid w:val="00EF7BD1"/>
    <w:rsid w:val="00F00586"/>
    <w:rsid w:val="00F015A5"/>
    <w:rsid w:val="00F01834"/>
    <w:rsid w:val="00F01E98"/>
    <w:rsid w:val="00F0388B"/>
    <w:rsid w:val="00F04829"/>
    <w:rsid w:val="00F04875"/>
    <w:rsid w:val="00F048C4"/>
    <w:rsid w:val="00F060AB"/>
    <w:rsid w:val="00F06424"/>
    <w:rsid w:val="00F11654"/>
    <w:rsid w:val="00F16E90"/>
    <w:rsid w:val="00F20884"/>
    <w:rsid w:val="00F231F9"/>
    <w:rsid w:val="00F24546"/>
    <w:rsid w:val="00F25795"/>
    <w:rsid w:val="00F26817"/>
    <w:rsid w:val="00F27A8E"/>
    <w:rsid w:val="00F3284B"/>
    <w:rsid w:val="00F330AC"/>
    <w:rsid w:val="00F35A80"/>
    <w:rsid w:val="00F3700A"/>
    <w:rsid w:val="00F41FEA"/>
    <w:rsid w:val="00F43787"/>
    <w:rsid w:val="00F4395C"/>
    <w:rsid w:val="00F43A51"/>
    <w:rsid w:val="00F4468B"/>
    <w:rsid w:val="00F44AEF"/>
    <w:rsid w:val="00F45D0B"/>
    <w:rsid w:val="00F4691D"/>
    <w:rsid w:val="00F5083A"/>
    <w:rsid w:val="00F5110C"/>
    <w:rsid w:val="00F5208D"/>
    <w:rsid w:val="00F525E8"/>
    <w:rsid w:val="00F53D67"/>
    <w:rsid w:val="00F555D6"/>
    <w:rsid w:val="00F55825"/>
    <w:rsid w:val="00F55DCE"/>
    <w:rsid w:val="00F5603E"/>
    <w:rsid w:val="00F562E0"/>
    <w:rsid w:val="00F64EFA"/>
    <w:rsid w:val="00F70674"/>
    <w:rsid w:val="00F71A30"/>
    <w:rsid w:val="00F71BD2"/>
    <w:rsid w:val="00F723F7"/>
    <w:rsid w:val="00F755B1"/>
    <w:rsid w:val="00F761A2"/>
    <w:rsid w:val="00F761B8"/>
    <w:rsid w:val="00F8051F"/>
    <w:rsid w:val="00F80FCC"/>
    <w:rsid w:val="00F81A1E"/>
    <w:rsid w:val="00F835FA"/>
    <w:rsid w:val="00F839E5"/>
    <w:rsid w:val="00F84DFB"/>
    <w:rsid w:val="00F85F53"/>
    <w:rsid w:val="00F90C32"/>
    <w:rsid w:val="00F92ED3"/>
    <w:rsid w:val="00F92EFD"/>
    <w:rsid w:val="00F930A7"/>
    <w:rsid w:val="00F93233"/>
    <w:rsid w:val="00F93F78"/>
    <w:rsid w:val="00F951C0"/>
    <w:rsid w:val="00FA2B33"/>
    <w:rsid w:val="00FA32A1"/>
    <w:rsid w:val="00FA601B"/>
    <w:rsid w:val="00FA7CBE"/>
    <w:rsid w:val="00FB11F9"/>
    <w:rsid w:val="00FB17FB"/>
    <w:rsid w:val="00FB4614"/>
    <w:rsid w:val="00FB4AEC"/>
    <w:rsid w:val="00FB4AFE"/>
    <w:rsid w:val="00FC048C"/>
    <w:rsid w:val="00FC10C1"/>
    <w:rsid w:val="00FC1476"/>
    <w:rsid w:val="00FC2CE7"/>
    <w:rsid w:val="00FC3061"/>
    <w:rsid w:val="00FC3416"/>
    <w:rsid w:val="00FC4283"/>
    <w:rsid w:val="00FD154F"/>
    <w:rsid w:val="00FD2A90"/>
    <w:rsid w:val="00FD2C78"/>
    <w:rsid w:val="00FD3763"/>
    <w:rsid w:val="00FD3CA3"/>
    <w:rsid w:val="00FD3DED"/>
    <w:rsid w:val="00FD456E"/>
    <w:rsid w:val="00FD4EB4"/>
    <w:rsid w:val="00FE047A"/>
    <w:rsid w:val="00FE2CD1"/>
    <w:rsid w:val="00FE52AE"/>
    <w:rsid w:val="00FE6081"/>
    <w:rsid w:val="00FE6435"/>
    <w:rsid w:val="00FF3507"/>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7DC0B"/>
  <w15:chartTrackingRefBased/>
  <w15:docId w15:val="{E2AC464E-3161-45E4-AC3C-BA4FD74F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2"/>
        <w:lang w:val="en-US" w:eastAsia="en-US" w:bidi="ar-SA"/>
      </w:rPr>
    </w:rPrDefault>
    <w:pPrDefault>
      <w:pPr>
        <w:spacing w:after="24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98"/>
  </w:style>
  <w:style w:type="paragraph" w:styleId="Heading1">
    <w:name w:val="heading 1"/>
    <w:basedOn w:val="Normal"/>
    <w:next w:val="Normal"/>
    <w:link w:val="Heading1Char"/>
    <w:autoRedefine/>
    <w:uiPriority w:val="9"/>
    <w:qFormat/>
    <w:rsid w:val="00F4691D"/>
    <w:pPr>
      <w:keepNext/>
      <w:keepLines/>
      <w:spacing w:before="240"/>
      <w:ind w:firstLine="0"/>
      <w:jc w:val="left"/>
      <w:outlineLvl w:val="0"/>
    </w:pPr>
    <w:rPr>
      <w:rFonts w:eastAsiaTheme="majorEastAsia" w:cstheme="majorBidi"/>
      <w:b/>
      <w:caps/>
      <w:color w:val="FFFFFF" w:themeColor="background1"/>
      <w:sz w:val="28"/>
      <w:szCs w:val="32"/>
      <w:lang w:val="hy-AM"/>
    </w:rPr>
  </w:style>
  <w:style w:type="paragraph" w:styleId="Heading2">
    <w:name w:val="heading 2"/>
    <w:basedOn w:val="Normal"/>
    <w:next w:val="Normal"/>
    <w:link w:val="Heading2Char"/>
    <w:autoRedefine/>
    <w:uiPriority w:val="9"/>
    <w:unhideWhenUsed/>
    <w:qFormat/>
    <w:rsid w:val="00A83257"/>
    <w:pPr>
      <w:keepNext/>
      <w:keepLines/>
      <w:spacing w:before="240"/>
      <w:ind w:firstLine="0"/>
      <w:jc w:val="left"/>
      <w:outlineLvl w:val="1"/>
    </w:pPr>
    <w:rPr>
      <w:rFonts w:eastAsiaTheme="majorEastAsia" w:cstheme="majorBidi"/>
      <w:color w:val="00B3C4"/>
      <w:szCs w:val="26"/>
      <w:lang w:val="hy-AM"/>
    </w:rPr>
  </w:style>
  <w:style w:type="paragraph" w:styleId="Heading3">
    <w:name w:val="heading 3"/>
    <w:basedOn w:val="Normal"/>
    <w:next w:val="Normal"/>
    <w:link w:val="Heading3Char"/>
    <w:uiPriority w:val="9"/>
    <w:unhideWhenUsed/>
    <w:qFormat/>
    <w:rsid w:val="00726114"/>
    <w:pPr>
      <w:keepNext/>
      <w:keepLines/>
      <w:spacing w:before="240"/>
      <w:ind w:firstLine="0"/>
      <w:jc w:val="left"/>
      <w:outlineLvl w:val="2"/>
    </w:pPr>
    <w:rPr>
      <w:rFonts w:eastAsiaTheme="majorEastAsia" w:cstheme="majorBidi"/>
      <w:color w:val="00B0F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91D"/>
    <w:rPr>
      <w:rFonts w:eastAsiaTheme="majorEastAsia" w:cstheme="majorBidi"/>
      <w:b/>
      <w:caps/>
      <w:color w:val="FFFFFF" w:themeColor="background1"/>
      <w:sz w:val="28"/>
      <w:szCs w:val="32"/>
      <w:lang w:val="hy-AM"/>
    </w:rPr>
  </w:style>
  <w:style w:type="character" w:customStyle="1" w:styleId="Heading2Char">
    <w:name w:val="Heading 2 Char"/>
    <w:basedOn w:val="DefaultParagraphFont"/>
    <w:link w:val="Heading2"/>
    <w:uiPriority w:val="9"/>
    <w:rsid w:val="00A83257"/>
    <w:rPr>
      <w:rFonts w:eastAsiaTheme="majorEastAsia" w:cstheme="majorBidi"/>
      <w:color w:val="00B3C4"/>
      <w:szCs w:val="26"/>
      <w:lang w:val="hy-AM"/>
    </w:rPr>
  </w:style>
  <w:style w:type="paragraph" w:styleId="ListParagraph">
    <w:name w:val="List Paragraph"/>
    <w:basedOn w:val="Normal"/>
    <w:uiPriority w:val="34"/>
    <w:qFormat/>
    <w:rsid w:val="005F33E6"/>
    <w:pPr>
      <w:ind w:left="720"/>
      <w:contextualSpacing/>
    </w:pPr>
  </w:style>
  <w:style w:type="table" w:styleId="TableGrid">
    <w:name w:val="Table Grid"/>
    <w:basedOn w:val="TableNormal"/>
    <w:uiPriority w:val="39"/>
    <w:rsid w:val="00D2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3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0CE"/>
    <w:rPr>
      <w:sz w:val="20"/>
      <w:szCs w:val="20"/>
    </w:rPr>
  </w:style>
  <w:style w:type="character" w:styleId="FootnoteReference">
    <w:name w:val="footnote reference"/>
    <w:basedOn w:val="DefaultParagraphFont"/>
    <w:uiPriority w:val="99"/>
    <w:semiHidden/>
    <w:unhideWhenUsed/>
    <w:rsid w:val="00A230CE"/>
    <w:rPr>
      <w:vertAlign w:val="superscript"/>
    </w:rPr>
  </w:style>
  <w:style w:type="paragraph" w:styleId="Header">
    <w:name w:val="header"/>
    <w:basedOn w:val="Normal"/>
    <w:link w:val="HeaderChar"/>
    <w:uiPriority w:val="99"/>
    <w:unhideWhenUsed/>
    <w:rsid w:val="00140C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0C53"/>
  </w:style>
  <w:style w:type="paragraph" w:styleId="Footer">
    <w:name w:val="footer"/>
    <w:basedOn w:val="Normal"/>
    <w:link w:val="FooterChar"/>
    <w:uiPriority w:val="99"/>
    <w:unhideWhenUsed/>
    <w:rsid w:val="00140C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0C53"/>
  </w:style>
  <w:style w:type="character" w:styleId="Hyperlink">
    <w:name w:val="Hyperlink"/>
    <w:basedOn w:val="DefaultParagraphFont"/>
    <w:uiPriority w:val="99"/>
    <w:unhideWhenUsed/>
    <w:rsid w:val="008E3735"/>
    <w:rPr>
      <w:color w:val="0563C1" w:themeColor="hyperlink"/>
      <w:u w:val="single"/>
    </w:rPr>
  </w:style>
  <w:style w:type="character" w:customStyle="1" w:styleId="Heading3Char">
    <w:name w:val="Heading 3 Char"/>
    <w:basedOn w:val="DefaultParagraphFont"/>
    <w:link w:val="Heading3"/>
    <w:uiPriority w:val="9"/>
    <w:rsid w:val="00726114"/>
    <w:rPr>
      <w:rFonts w:eastAsiaTheme="majorEastAsia" w:cstheme="majorBidi"/>
      <w:color w:val="00B0F0"/>
      <w:szCs w:val="24"/>
    </w:rPr>
  </w:style>
  <w:style w:type="paragraph" w:styleId="TOCHeading">
    <w:name w:val="TOC Heading"/>
    <w:basedOn w:val="Heading1"/>
    <w:next w:val="Normal"/>
    <w:uiPriority w:val="39"/>
    <w:unhideWhenUsed/>
    <w:qFormat/>
    <w:rsid w:val="003F03A5"/>
    <w:pPr>
      <w:spacing w:after="0" w:line="259" w:lineRule="auto"/>
      <w:outlineLvl w:val="9"/>
    </w:pPr>
    <w:rPr>
      <w:rFonts w:asciiTheme="majorHAnsi" w:hAnsiTheme="majorHAnsi"/>
      <w:caps w:val="0"/>
      <w:color w:val="2E74B5" w:themeColor="accent1" w:themeShade="BF"/>
      <w:sz w:val="32"/>
    </w:rPr>
  </w:style>
  <w:style w:type="paragraph" w:styleId="TOC1">
    <w:name w:val="toc 1"/>
    <w:basedOn w:val="Normal"/>
    <w:next w:val="Normal"/>
    <w:autoRedefine/>
    <w:uiPriority w:val="39"/>
    <w:unhideWhenUsed/>
    <w:rsid w:val="003F03A5"/>
    <w:pPr>
      <w:spacing w:after="100"/>
    </w:pPr>
  </w:style>
  <w:style w:type="paragraph" w:styleId="TOC2">
    <w:name w:val="toc 2"/>
    <w:basedOn w:val="Normal"/>
    <w:next w:val="Normal"/>
    <w:autoRedefine/>
    <w:uiPriority w:val="39"/>
    <w:unhideWhenUsed/>
    <w:rsid w:val="00D53FA8"/>
    <w:pPr>
      <w:tabs>
        <w:tab w:val="right" w:leader="dot" w:pos="9062"/>
      </w:tabs>
      <w:spacing w:after="100" w:line="240" w:lineRule="auto"/>
      <w:ind w:left="284" w:firstLine="0"/>
    </w:pPr>
  </w:style>
  <w:style w:type="paragraph" w:styleId="TOC3">
    <w:name w:val="toc 3"/>
    <w:basedOn w:val="Normal"/>
    <w:next w:val="Normal"/>
    <w:autoRedefine/>
    <w:uiPriority w:val="39"/>
    <w:unhideWhenUsed/>
    <w:rsid w:val="00D53FA8"/>
    <w:pPr>
      <w:tabs>
        <w:tab w:val="right" w:leader="dot" w:pos="9062"/>
      </w:tabs>
      <w:spacing w:after="100" w:line="240" w:lineRule="auto"/>
      <w:ind w:left="567" w:firstLine="0"/>
    </w:pPr>
  </w:style>
  <w:style w:type="character" w:styleId="CommentReference">
    <w:name w:val="annotation reference"/>
    <w:basedOn w:val="DefaultParagraphFont"/>
    <w:uiPriority w:val="99"/>
    <w:semiHidden/>
    <w:unhideWhenUsed/>
    <w:rsid w:val="007E5DDC"/>
    <w:rPr>
      <w:sz w:val="16"/>
      <w:szCs w:val="16"/>
    </w:rPr>
  </w:style>
  <w:style w:type="paragraph" w:styleId="CommentText">
    <w:name w:val="annotation text"/>
    <w:basedOn w:val="Normal"/>
    <w:link w:val="CommentTextChar"/>
    <w:uiPriority w:val="99"/>
    <w:semiHidden/>
    <w:unhideWhenUsed/>
    <w:rsid w:val="007E5DDC"/>
    <w:pPr>
      <w:spacing w:line="240" w:lineRule="auto"/>
    </w:pPr>
    <w:rPr>
      <w:sz w:val="20"/>
      <w:szCs w:val="20"/>
    </w:rPr>
  </w:style>
  <w:style w:type="character" w:customStyle="1" w:styleId="CommentTextChar">
    <w:name w:val="Comment Text Char"/>
    <w:basedOn w:val="DefaultParagraphFont"/>
    <w:link w:val="CommentText"/>
    <w:uiPriority w:val="99"/>
    <w:semiHidden/>
    <w:rsid w:val="007E5DDC"/>
    <w:rPr>
      <w:sz w:val="20"/>
      <w:szCs w:val="20"/>
    </w:rPr>
  </w:style>
  <w:style w:type="paragraph" w:styleId="CommentSubject">
    <w:name w:val="annotation subject"/>
    <w:basedOn w:val="CommentText"/>
    <w:next w:val="CommentText"/>
    <w:link w:val="CommentSubjectChar"/>
    <w:uiPriority w:val="99"/>
    <w:semiHidden/>
    <w:unhideWhenUsed/>
    <w:rsid w:val="007E5DDC"/>
    <w:rPr>
      <w:b/>
      <w:bCs/>
    </w:rPr>
  </w:style>
  <w:style w:type="character" w:customStyle="1" w:styleId="CommentSubjectChar">
    <w:name w:val="Comment Subject Char"/>
    <w:basedOn w:val="CommentTextChar"/>
    <w:link w:val="CommentSubject"/>
    <w:uiPriority w:val="99"/>
    <w:semiHidden/>
    <w:rsid w:val="007E5DDC"/>
    <w:rPr>
      <w:b/>
      <w:bCs/>
      <w:sz w:val="20"/>
      <w:szCs w:val="20"/>
    </w:rPr>
  </w:style>
  <w:style w:type="paragraph" w:styleId="BalloonText">
    <w:name w:val="Balloon Text"/>
    <w:basedOn w:val="Normal"/>
    <w:link w:val="BalloonTextChar"/>
    <w:uiPriority w:val="99"/>
    <w:semiHidden/>
    <w:unhideWhenUsed/>
    <w:rsid w:val="007E5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DC"/>
    <w:rPr>
      <w:rFonts w:ascii="Segoe UI" w:hAnsi="Segoe UI" w:cs="Segoe UI"/>
      <w:sz w:val="18"/>
      <w:szCs w:val="18"/>
    </w:rPr>
  </w:style>
  <w:style w:type="character" w:customStyle="1" w:styleId="1">
    <w:name w:val="Неразрешенное упоминание1"/>
    <w:basedOn w:val="DefaultParagraphFont"/>
    <w:uiPriority w:val="99"/>
    <w:semiHidden/>
    <w:unhideWhenUsed/>
    <w:rsid w:val="008C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930">
      <w:bodyDiv w:val="1"/>
      <w:marLeft w:val="0"/>
      <w:marRight w:val="0"/>
      <w:marTop w:val="0"/>
      <w:marBottom w:val="0"/>
      <w:divBdr>
        <w:top w:val="none" w:sz="0" w:space="0" w:color="auto"/>
        <w:left w:val="none" w:sz="0" w:space="0" w:color="auto"/>
        <w:bottom w:val="none" w:sz="0" w:space="0" w:color="auto"/>
        <w:right w:val="none" w:sz="0" w:space="0" w:color="auto"/>
      </w:divBdr>
    </w:div>
    <w:div w:id="529537866">
      <w:bodyDiv w:val="1"/>
      <w:marLeft w:val="0"/>
      <w:marRight w:val="0"/>
      <w:marTop w:val="0"/>
      <w:marBottom w:val="0"/>
      <w:divBdr>
        <w:top w:val="none" w:sz="0" w:space="0" w:color="auto"/>
        <w:left w:val="none" w:sz="0" w:space="0" w:color="auto"/>
        <w:bottom w:val="none" w:sz="0" w:space="0" w:color="auto"/>
        <w:right w:val="none" w:sz="0" w:space="0" w:color="auto"/>
      </w:divBdr>
    </w:div>
    <w:div w:id="1183056121">
      <w:bodyDiv w:val="1"/>
      <w:marLeft w:val="0"/>
      <w:marRight w:val="0"/>
      <w:marTop w:val="0"/>
      <w:marBottom w:val="0"/>
      <w:divBdr>
        <w:top w:val="none" w:sz="0" w:space="0" w:color="auto"/>
        <w:left w:val="none" w:sz="0" w:space="0" w:color="auto"/>
        <w:bottom w:val="none" w:sz="0" w:space="0" w:color="auto"/>
        <w:right w:val="none" w:sz="0" w:space="0" w:color="auto"/>
      </w:divBdr>
    </w:div>
    <w:div w:id="1201237720">
      <w:bodyDiv w:val="1"/>
      <w:marLeft w:val="0"/>
      <w:marRight w:val="0"/>
      <w:marTop w:val="0"/>
      <w:marBottom w:val="0"/>
      <w:divBdr>
        <w:top w:val="none" w:sz="0" w:space="0" w:color="auto"/>
        <w:left w:val="none" w:sz="0" w:space="0" w:color="auto"/>
        <w:bottom w:val="none" w:sz="0" w:space="0" w:color="auto"/>
        <w:right w:val="none" w:sz="0" w:space="0" w:color="auto"/>
      </w:divBdr>
    </w:div>
    <w:div w:id="1321496013">
      <w:bodyDiv w:val="1"/>
      <w:marLeft w:val="0"/>
      <w:marRight w:val="0"/>
      <w:marTop w:val="0"/>
      <w:marBottom w:val="0"/>
      <w:divBdr>
        <w:top w:val="none" w:sz="0" w:space="0" w:color="auto"/>
        <w:left w:val="none" w:sz="0" w:space="0" w:color="auto"/>
        <w:bottom w:val="none" w:sz="0" w:space="0" w:color="auto"/>
        <w:right w:val="none" w:sz="0" w:space="0" w:color="auto"/>
      </w:divBdr>
    </w:div>
    <w:div w:id="17295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armenpress.am/arm/news/1055477.html" TargetMode="External"/><Relationship Id="rId1" Type="http://schemas.openxmlformats.org/officeDocument/2006/relationships/hyperlink" Target="https://www.arlis.am/DocumentView.aspx?DocID=128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sargsyan\Desktop\Reseraches\2.%20&#1343;&#1377;&#1404;&#1377;&#1406;&#1377;&#1408;&#1400;&#1410;&#1385;&#1397;&#1377;&#1398;%20&#1390;&#1408;&#1377;&#1379;&#1387;&#1408;\&#1329;&#1399;&#1389;&#1377;&#1407;&#1377;&#1398;&#1412;&#1377;&#1397;&#1387;&#1398;%20&#1398;&#1397;&#1400;&#1410;&#1385;&#1381;&#1408;\&#1359;&#1398;&#1407;&#1381;&#1405;&#1377;&#1391;&#1377;&#1398;%20&#1392;&#1377;&#1408;&#1409;&#1381;&#1408;\&#1359;&#1398;&#1407;&#1381;&#1405;&#1377;&#1391;&#1377;&#1398;%20&#1377;&#1395;\&#1344;&#1350;&#1329;%20&#1398;&#1402;&#1377;&#1405;&#1407;&#1400;&#1410;&#1396;&#1398;&#1381;&#140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argsyan\Desktop\Reseraches\2.%20&#1343;&#1377;&#1404;&#1377;&#1406;&#1377;&#1408;&#1400;&#1410;&#1385;&#1397;&#1377;&#1398;%20&#1390;&#1408;&#1377;&#1379;&#1387;&#1408;\&#1329;&#1399;&#1389;&#1377;&#1407;&#1377;&#1398;&#1412;&#1377;&#1397;&#1387;&#1398;%20&#1398;&#1397;&#1400;&#1410;&#1385;&#1381;&#1408;\&#1359;&#1398;&#1407;&#1381;&#1405;&#1377;&#1391;&#1377;&#1398;%20&#1392;&#1377;&#1408;&#1409;&#1381;&#1408;\&#1359;&#1398;&#1407;&#1381;&#1405;&#1377;&#1391;&#1377;&#1398;%20&#1377;&#1395;\&#1344;&#1350;&#1329;%20&#1398;&#1402;&#1377;&#1405;&#1407;&#1400;&#1410;&#1396;&#1398;&#1381;&#1408;.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argsyan\Desktop\Reseraches\2.%20&#1343;&#1377;&#1404;&#1377;&#1406;&#1377;&#1408;&#1400;&#1410;&#1385;&#1397;&#1377;&#1398;%20&#1390;&#1408;&#1377;&#1379;&#1387;&#1408;\&#1329;&#1399;&#1389;&#1377;&#1407;&#1377;&#1398;&#1412;&#1377;&#1397;&#1387;&#1398;%20&#1398;&#1397;&#1400;&#1410;&#1385;&#1381;&#1408;\&#1359;&#1398;&#1407;&#1381;&#1405;&#1377;&#1391;&#1377;&#1398;%20&#1392;&#1377;&#1408;&#1409;&#1381;&#1408;\&#1359;&#1398;&#1407;&#1381;&#1405;&#1377;&#1391;&#1377;&#1398;%20&#1377;&#1395;\&#1359;&#1398;&#1407;&#1381;&#1405;&#1377;&#1391;&#1377;&#1398;%20&#1377;&#1395;.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argsyan\Desktop\Reseraches\2.%20&#1343;&#1377;&#1404;&#1377;&#1406;&#1377;&#1408;&#1400;&#1410;&#1385;&#1397;&#1377;&#1398;%20&#1390;&#1408;&#1377;&#1379;&#1387;&#1408;\&#1329;&#1399;&#1389;&#1377;&#1407;&#1377;&#1398;&#1412;&#1377;&#1397;&#1387;&#1398;%20&#1398;&#1397;&#1400;&#1410;&#1385;&#1381;&#1408;\&#1359;&#1398;&#1407;&#1381;&#1405;&#1377;&#1391;&#1377;&#1398;%20&#1392;&#1377;&#1408;&#1409;&#1381;&#1408;\&#1330;&#1377;&#1386;&#1387;&#1398;%202\Working-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Sheet1!$A$2</c:f>
              <c:strCache>
                <c:ptCount val="1"/>
                <c:pt idx="0">
                  <c:v>Ծառայություններ</c:v>
                </c:pt>
              </c:strCache>
            </c:strRef>
          </c:tx>
          <c:spPr>
            <a:solidFill>
              <a:srgbClr val="4F81BD"/>
            </a:solidFill>
            <a:ln w="25400">
              <a:noFill/>
            </a:ln>
          </c:spPr>
          <c:invertIfNegative val="0"/>
          <c:cat>
            <c:numRef>
              <c:f>Sheet1!$B$1:$I$1</c:f>
              <c:numCache>
                <c:formatCode>General</c:formatCode>
                <c:ptCount val="4"/>
                <c:pt idx="0">
                  <c:v>2017</c:v>
                </c:pt>
                <c:pt idx="1">
                  <c:v>2018</c:v>
                </c:pt>
                <c:pt idx="2">
                  <c:v>2019</c:v>
                </c:pt>
                <c:pt idx="3">
                  <c:v>2020</c:v>
                </c:pt>
              </c:numCache>
            </c:numRef>
          </c:cat>
          <c:val>
            <c:numRef>
              <c:f>Sheet1!$B$2:$I$2</c:f>
              <c:numCache>
                <c:formatCode>0.0</c:formatCode>
                <c:ptCount val="4"/>
                <c:pt idx="0">
                  <c:v>3.0697558706635015</c:v>
                </c:pt>
                <c:pt idx="1">
                  <c:v>3.425709190808083</c:v>
                </c:pt>
                <c:pt idx="2">
                  <c:v>4.0417974586553846</c:v>
                </c:pt>
                <c:pt idx="3">
                  <c:v>-3.5131508295985072</c:v>
                </c:pt>
              </c:numCache>
            </c:numRef>
          </c:val>
          <c:extLst xmlns:c16r2="http://schemas.microsoft.com/office/drawing/2015/06/chart">
            <c:ext xmlns:c16="http://schemas.microsoft.com/office/drawing/2014/chart" uri="{C3380CC4-5D6E-409C-BE32-E72D297353CC}">
              <c16:uniqueId val="{00000000-B229-574E-ABBA-9E08B0126B21}"/>
            </c:ext>
          </c:extLst>
        </c:ser>
        <c:ser>
          <c:idx val="1"/>
          <c:order val="1"/>
          <c:tx>
            <c:strRef>
              <c:f>Sheet1!$A$10</c:f>
              <c:strCache>
                <c:ptCount val="1"/>
                <c:pt idx="0">
                  <c:v>Առևտուր</c:v>
                </c:pt>
              </c:strCache>
            </c:strRef>
          </c:tx>
          <c:spPr>
            <a:solidFill>
              <a:srgbClr val="C0504D"/>
            </a:solidFill>
            <a:ln w="25400">
              <a:noFill/>
            </a:ln>
          </c:spPr>
          <c:invertIfNegative val="0"/>
          <c:cat>
            <c:numRef>
              <c:f>Sheet1!$B$1:$I$1</c:f>
              <c:numCache>
                <c:formatCode>General</c:formatCode>
                <c:ptCount val="4"/>
                <c:pt idx="0">
                  <c:v>2017</c:v>
                </c:pt>
                <c:pt idx="1">
                  <c:v>2018</c:v>
                </c:pt>
                <c:pt idx="2">
                  <c:v>2019</c:v>
                </c:pt>
                <c:pt idx="3">
                  <c:v>2020</c:v>
                </c:pt>
              </c:numCache>
            </c:numRef>
          </c:cat>
          <c:val>
            <c:numRef>
              <c:f>Sheet1!$B$10:$I$10</c:f>
              <c:numCache>
                <c:formatCode>0.0</c:formatCode>
                <c:ptCount val="4"/>
                <c:pt idx="0">
                  <c:v>2.0189068977354476</c:v>
                </c:pt>
                <c:pt idx="1">
                  <c:v>1.0278353322844325</c:v>
                </c:pt>
                <c:pt idx="2">
                  <c:v>1.0360391775670517</c:v>
                </c:pt>
                <c:pt idx="3">
                  <c:v>-1.5389912505907934</c:v>
                </c:pt>
              </c:numCache>
            </c:numRef>
          </c:val>
          <c:extLst xmlns:c16r2="http://schemas.microsoft.com/office/drawing/2015/06/chart">
            <c:ext xmlns:c16="http://schemas.microsoft.com/office/drawing/2014/chart" uri="{C3380CC4-5D6E-409C-BE32-E72D297353CC}">
              <c16:uniqueId val="{00000001-B229-574E-ABBA-9E08B0126B21}"/>
            </c:ext>
          </c:extLst>
        </c:ser>
        <c:ser>
          <c:idx val="2"/>
          <c:order val="2"/>
          <c:tx>
            <c:strRef>
              <c:f>Sheet1!$A$11</c:f>
              <c:strCache>
                <c:ptCount val="1"/>
                <c:pt idx="0">
                  <c:v>Արդյունաբերություն</c:v>
                </c:pt>
              </c:strCache>
            </c:strRef>
          </c:tx>
          <c:spPr>
            <a:solidFill>
              <a:srgbClr val="9BBB59"/>
            </a:solidFill>
            <a:ln w="25400">
              <a:noFill/>
            </a:ln>
          </c:spPr>
          <c:invertIfNegative val="0"/>
          <c:cat>
            <c:numRef>
              <c:f>Sheet1!$B$1:$I$1</c:f>
              <c:numCache>
                <c:formatCode>General</c:formatCode>
                <c:ptCount val="4"/>
                <c:pt idx="0">
                  <c:v>2017</c:v>
                </c:pt>
                <c:pt idx="1">
                  <c:v>2018</c:v>
                </c:pt>
                <c:pt idx="2">
                  <c:v>2019</c:v>
                </c:pt>
                <c:pt idx="3">
                  <c:v>2020</c:v>
                </c:pt>
              </c:numCache>
            </c:numRef>
          </c:cat>
          <c:val>
            <c:numRef>
              <c:f>Sheet1!$B$11:$I$11</c:f>
              <c:numCache>
                <c:formatCode>0.0</c:formatCode>
                <c:ptCount val="4"/>
                <c:pt idx="0">
                  <c:v>2.0948895026506751</c:v>
                </c:pt>
                <c:pt idx="1">
                  <c:v>0.90972491062214123</c:v>
                </c:pt>
                <c:pt idx="2">
                  <c:v>2.1681570501698237</c:v>
                </c:pt>
                <c:pt idx="3">
                  <c:v>-0.31627508523270143</c:v>
                </c:pt>
              </c:numCache>
            </c:numRef>
          </c:val>
          <c:extLst xmlns:c16r2="http://schemas.microsoft.com/office/drawing/2015/06/chart">
            <c:ext xmlns:c16="http://schemas.microsoft.com/office/drawing/2014/chart" uri="{C3380CC4-5D6E-409C-BE32-E72D297353CC}">
              <c16:uniqueId val="{00000002-B229-574E-ABBA-9E08B0126B21}"/>
            </c:ext>
          </c:extLst>
        </c:ser>
        <c:ser>
          <c:idx val="3"/>
          <c:order val="3"/>
          <c:tx>
            <c:strRef>
              <c:f>Sheet1!$A$14</c:f>
              <c:strCache>
                <c:ptCount val="1"/>
                <c:pt idx="0">
                  <c:v>Շինարարություն</c:v>
                </c:pt>
              </c:strCache>
            </c:strRef>
          </c:tx>
          <c:spPr>
            <a:solidFill>
              <a:srgbClr val="8064A2"/>
            </a:solidFill>
            <a:ln w="25400">
              <a:noFill/>
            </a:ln>
          </c:spPr>
          <c:invertIfNegative val="0"/>
          <c:cat>
            <c:numRef>
              <c:f>Sheet1!$B$1:$I$1</c:f>
              <c:numCache>
                <c:formatCode>General</c:formatCode>
                <c:ptCount val="4"/>
                <c:pt idx="0">
                  <c:v>2017</c:v>
                </c:pt>
                <c:pt idx="1">
                  <c:v>2018</c:v>
                </c:pt>
                <c:pt idx="2">
                  <c:v>2019</c:v>
                </c:pt>
                <c:pt idx="3">
                  <c:v>2020</c:v>
                </c:pt>
              </c:numCache>
            </c:numRef>
          </c:cat>
          <c:val>
            <c:numRef>
              <c:f>Sheet1!$B$14:$I$14</c:f>
              <c:numCache>
                <c:formatCode>0.0</c:formatCode>
                <c:ptCount val="4"/>
                <c:pt idx="0">
                  <c:v>0.2172548165998277</c:v>
                </c:pt>
                <c:pt idx="1">
                  <c:v>4.3605339591297143E-2</c:v>
                </c:pt>
                <c:pt idx="2">
                  <c:v>0.42924919235971887</c:v>
                </c:pt>
                <c:pt idx="3">
                  <c:v>-0.42539272636721021</c:v>
                </c:pt>
              </c:numCache>
            </c:numRef>
          </c:val>
          <c:extLst xmlns:c16r2="http://schemas.microsoft.com/office/drawing/2015/06/chart">
            <c:ext xmlns:c16="http://schemas.microsoft.com/office/drawing/2014/chart" uri="{C3380CC4-5D6E-409C-BE32-E72D297353CC}">
              <c16:uniqueId val="{00000003-B229-574E-ABBA-9E08B0126B21}"/>
            </c:ext>
          </c:extLst>
        </c:ser>
        <c:ser>
          <c:idx val="4"/>
          <c:order val="4"/>
          <c:tx>
            <c:strRef>
              <c:f>Sheet1!$A$15</c:f>
              <c:strCache>
                <c:ptCount val="1"/>
                <c:pt idx="0">
                  <c:v>Գյուղատնտեսություն</c:v>
                </c:pt>
              </c:strCache>
            </c:strRef>
          </c:tx>
          <c:spPr>
            <a:solidFill>
              <a:srgbClr val="4BACC6"/>
            </a:solidFill>
            <a:ln w="25400">
              <a:noFill/>
            </a:ln>
          </c:spPr>
          <c:invertIfNegative val="0"/>
          <c:cat>
            <c:numRef>
              <c:f>Sheet1!$B$1:$I$1</c:f>
              <c:numCache>
                <c:formatCode>General</c:formatCode>
                <c:ptCount val="4"/>
                <c:pt idx="0">
                  <c:v>2017</c:v>
                </c:pt>
                <c:pt idx="1">
                  <c:v>2018</c:v>
                </c:pt>
                <c:pt idx="2">
                  <c:v>2019</c:v>
                </c:pt>
                <c:pt idx="3">
                  <c:v>2020</c:v>
                </c:pt>
              </c:numCache>
            </c:numRef>
          </c:cat>
          <c:val>
            <c:numRef>
              <c:f>Sheet1!$B$15:$I$15</c:f>
              <c:numCache>
                <c:formatCode>0.0</c:formatCode>
                <c:ptCount val="4"/>
                <c:pt idx="0">
                  <c:v>-0.83591415022634774</c:v>
                </c:pt>
                <c:pt idx="1">
                  <c:v>-1.0346039485751568</c:v>
                </c:pt>
                <c:pt idx="2">
                  <c:v>-0.80865407601404682</c:v>
                </c:pt>
                <c:pt idx="3">
                  <c:v>-0.47255004025631075</c:v>
                </c:pt>
              </c:numCache>
            </c:numRef>
          </c:val>
          <c:extLst xmlns:c16r2="http://schemas.microsoft.com/office/drawing/2015/06/chart">
            <c:ext xmlns:c16="http://schemas.microsoft.com/office/drawing/2014/chart" uri="{C3380CC4-5D6E-409C-BE32-E72D297353CC}">
              <c16:uniqueId val="{00000004-B229-574E-ABBA-9E08B0126B21}"/>
            </c:ext>
          </c:extLst>
        </c:ser>
        <c:ser>
          <c:idx val="5"/>
          <c:order val="6"/>
          <c:tx>
            <c:strRef>
              <c:f>Sheet1!$A$16</c:f>
              <c:strCache>
                <c:ptCount val="1"/>
                <c:pt idx="0">
                  <c:v>Զուտ անուղղակի հարկեր</c:v>
                </c:pt>
              </c:strCache>
            </c:strRef>
          </c:tx>
          <c:spPr>
            <a:solidFill>
              <a:srgbClr val="F79646"/>
            </a:solidFill>
            <a:ln w="25400">
              <a:noFill/>
            </a:ln>
          </c:spPr>
          <c:invertIfNegative val="0"/>
          <c:val>
            <c:numRef>
              <c:f>Sheet1!$B$16:$I$16</c:f>
              <c:numCache>
                <c:formatCode>0.0</c:formatCode>
                <c:ptCount val="4"/>
                <c:pt idx="0">
                  <c:v>0.97397060580761718</c:v>
                </c:pt>
                <c:pt idx="1">
                  <c:v>0.82246482352669925</c:v>
                </c:pt>
                <c:pt idx="2">
                  <c:v>0.75427447723755969</c:v>
                </c:pt>
                <c:pt idx="3">
                  <c:v>-1.1390376673817266</c:v>
                </c:pt>
              </c:numCache>
            </c:numRef>
          </c:val>
          <c:extLst xmlns:c16r2="http://schemas.microsoft.com/office/drawing/2015/06/chart">
            <c:ext xmlns:c16="http://schemas.microsoft.com/office/drawing/2014/chart" uri="{C3380CC4-5D6E-409C-BE32-E72D297353CC}">
              <c16:uniqueId val="{00000005-B229-574E-ABBA-9E08B0126B21}"/>
            </c:ext>
          </c:extLst>
        </c:ser>
        <c:dLbls>
          <c:showLegendKey val="0"/>
          <c:showVal val="0"/>
          <c:showCatName val="0"/>
          <c:showSerName val="0"/>
          <c:showPercent val="0"/>
          <c:showBubbleSize val="0"/>
        </c:dLbls>
        <c:gapWidth val="150"/>
        <c:overlap val="100"/>
        <c:axId val="445122408"/>
        <c:axId val="445120448"/>
      </c:barChart>
      <c:lineChart>
        <c:grouping val="standard"/>
        <c:varyColors val="0"/>
        <c:ser>
          <c:idx val="6"/>
          <c:order val="5"/>
          <c:tx>
            <c:strRef>
              <c:f>Sheet1!$A$17</c:f>
              <c:strCache>
                <c:ptCount val="1"/>
                <c:pt idx="0">
                  <c:v>ՀՆԱ-ի իրական աճ, %</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3"/>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229-574E-ABBA-9E08B0126B21}"/>
                </c:ext>
                <c:ext xmlns:c15="http://schemas.microsoft.com/office/drawing/2012/chart" uri="{CE6537A1-D6FC-4f65-9D91-7224C49458BB}">
                  <c15:layout/>
                </c:ext>
              </c:extLst>
            </c:dLbl>
            <c:dLbl>
              <c:idx val="7"/>
              <c:spPr>
                <a:noFill/>
                <a:ln w="25400">
                  <a:noFill/>
                </a:ln>
              </c:spPr>
              <c:txPr>
                <a:bodyPr/>
                <a:lstStyle/>
                <a:p>
                  <a:pPr>
                    <a:defRPr sz="900" b="0" i="0" u="none" strike="noStrike" baseline="0">
                      <a:solidFill>
                        <a:srgbClr val="333333"/>
                      </a:solidFill>
                      <a:latin typeface="GHEA Grapalat"/>
                      <a:ea typeface="GHEA Grapalat"/>
                      <a:cs typeface="GHEA Grapalat"/>
                    </a:defRPr>
                  </a:pPr>
                  <a:endParaRPr lang="en-US"/>
                </a:p>
              </c:txPr>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229-574E-ABBA-9E08B0126B21}"/>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GHEA Grapalat"/>
                    <a:ea typeface="GHEA Grapalat"/>
                    <a:cs typeface="GHEA Grapalat"/>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Sheet1!$B$1:$I$1</c:f>
              <c:numCache>
                <c:formatCode>General</c:formatCode>
                <c:ptCount val="4"/>
                <c:pt idx="0">
                  <c:v>2017</c:v>
                </c:pt>
                <c:pt idx="1">
                  <c:v>2018</c:v>
                </c:pt>
                <c:pt idx="2">
                  <c:v>2019</c:v>
                </c:pt>
                <c:pt idx="3">
                  <c:v>2020</c:v>
                </c:pt>
              </c:numCache>
            </c:numRef>
          </c:cat>
          <c:val>
            <c:numRef>
              <c:f>Sheet1!$B$17:$I$17</c:f>
              <c:numCache>
                <c:formatCode>0.0</c:formatCode>
                <c:ptCount val="4"/>
                <c:pt idx="0">
                  <c:v>7.5</c:v>
                </c:pt>
                <c:pt idx="1">
                  <c:v>5.2000000000000028</c:v>
                </c:pt>
                <c:pt idx="2">
                  <c:v>7.5999999999999943</c:v>
                </c:pt>
                <c:pt idx="3">
                  <c:v>-7.4000000000000057</c:v>
                </c:pt>
              </c:numCache>
            </c:numRef>
          </c:val>
          <c:smooth val="0"/>
          <c:extLst xmlns:c16r2="http://schemas.microsoft.com/office/drawing/2015/06/chart">
            <c:ext xmlns:c16="http://schemas.microsoft.com/office/drawing/2014/chart" uri="{C3380CC4-5D6E-409C-BE32-E72D297353CC}">
              <c16:uniqueId val="{00000008-B229-574E-ABBA-9E08B0126B21}"/>
            </c:ext>
          </c:extLst>
        </c:ser>
        <c:dLbls>
          <c:showLegendKey val="0"/>
          <c:showVal val="0"/>
          <c:showCatName val="0"/>
          <c:showSerName val="0"/>
          <c:showPercent val="0"/>
          <c:showBubbleSize val="0"/>
        </c:dLbls>
        <c:marker val="1"/>
        <c:smooth val="0"/>
        <c:axId val="445122408"/>
        <c:axId val="445120448"/>
      </c:lineChart>
      <c:catAx>
        <c:axId val="445122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GHEA Grapalat"/>
                <a:ea typeface="GHEA Grapalat"/>
                <a:cs typeface="GHEA Grapalat"/>
              </a:defRPr>
            </a:pPr>
            <a:endParaRPr lang="en-US"/>
          </a:p>
        </c:txPr>
        <c:crossAx val="445120448"/>
        <c:crosses val="autoZero"/>
        <c:auto val="1"/>
        <c:lblAlgn val="ctr"/>
        <c:lblOffset val="100"/>
        <c:noMultiLvlLbl val="0"/>
      </c:catAx>
      <c:valAx>
        <c:axId val="445120448"/>
        <c:scaling>
          <c:orientation val="minMax"/>
        </c:scaling>
        <c:delete val="0"/>
        <c:axPos val="l"/>
        <c:numFmt formatCode="0.0" sourceLinked="1"/>
        <c:majorTickMark val="none"/>
        <c:minorTickMark val="none"/>
        <c:tickLblPos val="nextTo"/>
        <c:spPr>
          <a:ln w="9525">
            <a:noFill/>
          </a:ln>
        </c:spPr>
        <c:txPr>
          <a:bodyPr rot="0" vert="horz"/>
          <a:lstStyle/>
          <a:p>
            <a:pPr>
              <a:defRPr sz="900" b="0" i="0" u="none" strike="noStrike" baseline="0">
                <a:solidFill>
                  <a:srgbClr val="333333"/>
                </a:solidFill>
                <a:latin typeface="GHEA Grapalat"/>
                <a:ea typeface="GHEA Grapalat"/>
                <a:cs typeface="GHEA Grapalat"/>
              </a:defRPr>
            </a:pPr>
            <a:endParaRPr lang="en-US"/>
          </a:p>
        </c:txPr>
        <c:crossAx val="445122408"/>
        <c:crosses val="autoZero"/>
        <c:crossBetween val="between"/>
      </c:valAx>
      <c:spPr>
        <a:noFill/>
        <a:ln w="25400">
          <a:noFill/>
        </a:ln>
      </c:spPr>
    </c:plotArea>
    <c:legend>
      <c:legendPos val="b"/>
      <c:layout/>
      <c:overlay val="0"/>
      <c:spPr>
        <a:noFill/>
        <a:ln w="25400">
          <a:noFill/>
        </a:ln>
      </c:spPr>
      <c:txPr>
        <a:bodyPr/>
        <a:lstStyle/>
        <a:p>
          <a:pPr>
            <a:defRPr sz="600" b="0" i="0" u="none" strike="noStrike" baseline="0">
              <a:solidFill>
                <a:srgbClr val="333333"/>
              </a:solidFill>
              <a:latin typeface="GHEA Grapalat"/>
              <a:ea typeface="GHEA Grapalat"/>
              <a:cs typeface="GHEA Grapalat"/>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GHEA Grapalat"/>
          <a:ea typeface="GHEA Grapalat"/>
          <a:cs typeface="GHEA Grapala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Sheet3!$A$3</c:f>
              <c:strCache>
                <c:ptCount val="1"/>
                <c:pt idx="0">
                  <c:v>Սպառում</c:v>
                </c:pt>
              </c:strCache>
            </c:strRef>
          </c:tx>
          <c:spPr>
            <a:solidFill>
              <a:srgbClr val="C0504D"/>
            </a:solidFill>
            <a:ln w="25400">
              <a:noFill/>
            </a:ln>
          </c:spPr>
          <c:invertIfNegative val="0"/>
          <c:cat>
            <c:numRef>
              <c:f>Sheet3!$B$1:$I$1</c:f>
              <c:numCache>
                <c:formatCode>General</c:formatCode>
                <c:ptCount val="4"/>
                <c:pt idx="0">
                  <c:v>2017</c:v>
                </c:pt>
                <c:pt idx="1">
                  <c:v>2018</c:v>
                </c:pt>
                <c:pt idx="2">
                  <c:v>2019</c:v>
                </c:pt>
                <c:pt idx="3">
                  <c:v>2020</c:v>
                </c:pt>
              </c:numCache>
            </c:numRef>
          </c:cat>
          <c:val>
            <c:numRef>
              <c:f>Sheet3!$B$3:$I$3</c:f>
              <c:numCache>
                <c:formatCode>0.0</c:formatCode>
                <c:ptCount val="4"/>
                <c:pt idx="0">
                  <c:v>10.411906711146685</c:v>
                </c:pt>
                <c:pt idx="1">
                  <c:v>3.5092447105651092</c:v>
                </c:pt>
                <c:pt idx="2">
                  <c:v>10.680646817555598</c:v>
                </c:pt>
                <c:pt idx="3">
                  <c:v>-9.6964062213782558</c:v>
                </c:pt>
              </c:numCache>
            </c:numRef>
          </c:val>
          <c:extLst xmlns:c16r2="http://schemas.microsoft.com/office/drawing/2015/06/chart">
            <c:ext xmlns:c16="http://schemas.microsoft.com/office/drawing/2014/chart" uri="{C3380CC4-5D6E-409C-BE32-E72D297353CC}">
              <c16:uniqueId val="{00000000-D31E-7249-BA05-94FB413B6500}"/>
            </c:ext>
          </c:extLst>
        </c:ser>
        <c:ser>
          <c:idx val="3"/>
          <c:order val="2"/>
          <c:tx>
            <c:strRef>
              <c:f>Sheet3!$A$8</c:f>
              <c:strCache>
                <c:ptCount val="1"/>
                <c:pt idx="0">
                  <c:v>Զուտ արտահանում</c:v>
                </c:pt>
              </c:strCache>
            </c:strRef>
          </c:tx>
          <c:spPr>
            <a:solidFill>
              <a:srgbClr val="8064A2"/>
            </a:solidFill>
            <a:ln w="25400">
              <a:noFill/>
            </a:ln>
          </c:spPr>
          <c:invertIfNegative val="0"/>
          <c:cat>
            <c:numRef>
              <c:f>Sheet3!$B$1:$I$1</c:f>
              <c:numCache>
                <c:formatCode>General</c:formatCode>
                <c:ptCount val="4"/>
                <c:pt idx="0">
                  <c:v>2017</c:v>
                </c:pt>
                <c:pt idx="1">
                  <c:v>2018</c:v>
                </c:pt>
                <c:pt idx="2">
                  <c:v>2019</c:v>
                </c:pt>
                <c:pt idx="3">
                  <c:v>2020</c:v>
                </c:pt>
              </c:numCache>
            </c:numRef>
          </c:cat>
          <c:val>
            <c:numRef>
              <c:f>Sheet3!$B$8:$I$8</c:f>
              <c:numCache>
                <c:formatCode>0.0</c:formatCode>
                <c:ptCount val="4"/>
                <c:pt idx="0">
                  <c:v>-3.9014411361804848</c:v>
                </c:pt>
                <c:pt idx="1">
                  <c:v>-4.6043797249248186</c:v>
                </c:pt>
                <c:pt idx="2">
                  <c:v>0.14555833743502511</c:v>
                </c:pt>
                <c:pt idx="3">
                  <c:v>3.3845251138343819</c:v>
                </c:pt>
              </c:numCache>
            </c:numRef>
          </c:val>
          <c:extLst xmlns:c16r2="http://schemas.microsoft.com/office/drawing/2015/06/chart">
            <c:ext xmlns:c16="http://schemas.microsoft.com/office/drawing/2014/chart" uri="{C3380CC4-5D6E-409C-BE32-E72D297353CC}">
              <c16:uniqueId val="{00000001-D31E-7249-BA05-94FB413B6500}"/>
            </c:ext>
          </c:extLst>
        </c:ser>
        <c:ser>
          <c:idx val="2"/>
          <c:order val="3"/>
          <c:tx>
            <c:strRef>
              <c:f>Sheet3!$A$6</c:f>
              <c:strCache>
                <c:ptCount val="1"/>
                <c:pt idx="0">
                  <c:v>Ներդրումներ</c:v>
                </c:pt>
              </c:strCache>
            </c:strRef>
          </c:tx>
          <c:invertIfNegative val="0"/>
          <c:val>
            <c:numRef>
              <c:f>Sheet3!$F$7:$I$7</c:f>
              <c:numCache>
                <c:formatCode>0.0</c:formatCode>
                <c:ptCount val="4"/>
                <c:pt idx="0">
                  <c:v>1.6836988068680059</c:v>
                </c:pt>
                <c:pt idx="1">
                  <c:v>0.84712204793201873</c:v>
                </c:pt>
                <c:pt idx="2">
                  <c:v>0.73660007839076724</c:v>
                </c:pt>
                <c:pt idx="3">
                  <c:v>-1.360141465150009</c:v>
                </c:pt>
              </c:numCache>
            </c:numRef>
          </c:val>
          <c:extLst xmlns:c16r2="http://schemas.microsoft.com/office/drawing/2015/06/chart">
            <c:ext xmlns:c16="http://schemas.microsoft.com/office/drawing/2014/chart" uri="{C3380CC4-5D6E-409C-BE32-E72D297353CC}">
              <c16:uniqueId val="{00000002-D31E-7249-BA05-94FB413B6500}"/>
            </c:ext>
          </c:extLst>
        </c:ser>
        <c:dLbls>
          <c:showLegendKey val="0"/>
          <c:showVal val="0"/>
          <c:showCatName val="0"/>
          <c:showSerName val="0"/>
          <c:showPercent val="0"/>
          <c:showBubbleSize val="0"/>
        </c:dLbls>
        <c:gapWidth val="150"/>
        <c:overlap val="100"/>
        <c:axId val="445119272"/>
        <c:axId val="445122016"/>
      </c:barChart>
      <c:lineChart>
        <c:grouping val="standard"/>
        <c:varyColors val="0"/>
        <c:ser>
          <c:idx val="0"/>
          <c:order val="0"/>
          <c:tx>
            <c:strRef>
              <c:f>Sheet3!$A$2</c:f>
              <c:strCache>
                <c:ptCount val="1"/>
                <c:pt idx="0">
                  <c:v>ՀՆԱ-ի իրական աճը, %</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31E-7249-BA05-94FB413B6500}"/>
                </c:ext>
                <c:ext xmlns:c15="http://schemas.microsoft.com/office/drawing/2012/chart" uri="{CE6537A1-D6FC-4f65-9D91-7224C49458BB}">
                  <c15:layout/>
                </c:ext>
              </c:extLst>
            </c:dLbl>
            <c:dLbl>
              <c:idx val="1"/>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31E-7249-BA05-94FB413B6500}"/>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Sheet3!$B$1:$I$1</c:f>
              <c:numCache>
                <c:formatCode>General</c:formatCode>
                <c:ptCount val="4"/>
                <c:pt idx="0">
                  <c:v>2017</c:v>
                </c:pt>
                <c:pt idx="1">
                  <c:v>2018</c:v>
                </c:pt>
                <c:pt idx="2">
                  <c:v>2019</c:v>
                </c:pt>
                <c:pt idx="3">
                  <c:v>2020</c:v>
                </c:pt>
              </c:numCache>
            </c:numRef>
          </c:cat>
          <c:val>
            <c:numRef>
              <c:f>Sheet3!$B$2:$I$2</c:f>
              <c:numCache>
                <c:formatCode>0.0</c:formatCode>
                <c:ptCount val="4"/>
                <c:pt idx="0">
                  <c:v>7.5</c:v>
                </c:pt>
                <c:pt idx="1">
                  <c:v>5.2000000000000028</c:v>
                </c:pt>
                <c:pt idx="2">
                  <c:v>7.5999999999999943</c:v>
                </c:pt>
                <c:pt idx="3">
                  <c:v>-7.4000000000000057</c:v>
                </c:pt>
              </c:numCache>
            </c:numRef>
          </c:val>
          <c:smooth val="0"/>
          <c:extLst xmlns:c16r2="http://schemas.microsoft.com/office/drawing/2015/06/chart">
            <c:ext xmlns:c16="http://schemas.microsoft.com/office/drawing/2014/chart" uri="{C3380CC4-5D6E-409C-BE32-E72D297353CC}">
              <c16:uniqueId val="{00000005-D31E-7249-BA05-94FB413B6500}"/>
            </c:ext>
          </c:extLst>
        </c:ser>
        <c:dLbls>
          <c:showLegendKey val="0"/>
          <c:showVal val="0"/>
          <c:showCatName val="0"/>
          <c:showSerName val="0"/>
          <c:showPercent val="0"/>
          <c:showBubbleSize val="0"/>
        </c:dLbls>
        <c:marker val="1"/>
        <c:smooth val="0"/>
        <c:axId val="445119272"/>
        <c:axId val="445122016"/>
      </c:lineChart>
      <c:catAx>
        <c:axId val="4451192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GHEA Grapalat"/>
                <a:ea typeface="GHEA Grapalat"/>
                <a:cs typeface="GHEA Grapalat"/>
              </a:defRPr>
            </a:pPr>
            <a:endParaRPr lang="en-US"/>
          </a:p>
        </c:txPr>
        <c:crossAx val="445122016"/>
        <c:crosses val="autoZero"/>
        <c:auto val="1"/>
        <c:lblAlgn val="ctr"/>
        <c:lblOffset val="100"/>
        <c:noMultiLvlLbl val="0"/>
      </c:catAx>
      <c:valAx>
        <c:axId val="445122016"/>
        <c:scaling>
          <c:orientation val="minMax"/>
          <c:max val="15"/>
          <c:min val="-15"/>
        </c:scaling>
        <c:delete val="0"/>
        <c:axPos val="l"/>
        <c:numFmt formatCode="0.0" sourceLinked="1"/>
        <c:majorTickMark val="none"/>
        <c:minorTickMark val="none"/>
        <c:tickLblPos val="nextTo"/>
        <c:spPr>
          <a:ln w="9525">
            <a:noFill/>
          </a:ln>
        </c:spPr>
        <c:txPr>
          <a:bodyPr rot="0" vert="horz"/>
          <a:lstStyle/>
          <a:p>
            <a:pPr>
              <a:defRPr sz="900" b="0" i="0" u="none" strike="noStrike" baseline="0">
                <a:solidFill>
                  <a:srgbClr val="333333"/>
                </a:solidFill>
                <a:latin typeface="GHEA Grapalat"/>
                <a:ea typeface="GHEA Grapalat"/>
                <a:cs typeface="GHEA Grapalat"/>
              </a:defRPr>
            </a:pPr>
            <a:endParaRPr lang="en-US"/>
          </a:p>
        </c:txPr>
        <c:crossAx val="445119272"/>
        <c:crosses val="autoZero"/>
        <c:crossBetween val="between"/>
        <c:majorUnit val="5"/>
      </c:valAx>
      <c:spPr>
        <a:noFill/>
        <a:ln w="25400">
          <a:noFill/>
        </a:ln>
      </c:spPr>
    </c:plotArea>
    <c:legend>
      <c:legendPos val="b"/>
      <c:layout/>
      <c:overlay val="0"/>
      <c:spPr>
        <a:noFill/>
        <a:ln w="25400">
          <a:noFill/>
        </a:ln>
      </c:spPr>
      <c:txPr>
        <a:bodyPr/>
        <a:lstStyle/>
        <a:p>
          <a:pPr>
            <a:defRPr sz="700" b="0" i="0" u="none" strike="noStrike" baseline="0">
              <a:solidFill>
                <a:srgbClr val="333333"/>
              </a:solidFill>
              <a:latin typeface="GHEA Grapalat"/>
              <a:ea typeface="GHEA Grapalat"/>
              <a:cs typeface="GHEA Grapalat"/>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GHEA Grapalat"/>
          <a:ea typeface="GHEA Grapalat"/>
          <a:cs typeface="GHEA Grapala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Կանխատեսումներ!$A$19</c:f>
              <c:strCache>
                <c:ptCount val="1"/>
                <c:pt idx="0">
                  <c:v>Փաստացի</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Կանխատեսումներ!$B$18:$G$18</c:f>
              <c:numCache>
                <c:formatCode>General</c:formatCode>
                <c:ptCount val="6"/>
                <c:pt idx="0">
                  <c:v>2019</c:v>
                </c:pt>
                <c:pt idx="1">
                  <c:v>2020</c:v>
                </c:pt>
                <c:pt idx="2">
                  <c:v>2021</c:v>
                </c:pt>
                <c:pt idx="3">
                  <c:v>2022</c:v>
                </c:pt>
                <c:pt idx="4">
                  <c:v>2023</c:v>
                </c:pt>
                <c:pt idx="5">
                  <c:v>2024</c:v>
                </c:pt>
              </c:numCache>
            </c:numRef>
          </c:cat>
          <c:val>
            <c:numRef>
              <c:f>Կանխատեսումներ!$B$19:$G$19</c:f>
              <c:numCache>
                <c:formatCode>0.0</c:formatCode>
                <c:ptCount val="6"/>
                <c:pt idx="0">
                  <c:v>7.5999999999999943</c:v>
                </c:pt>
                <c:pt idx="1">
                  <c:v>-7.4000000000000057</c:v>
                </c:pt>
              </c:numCache>
            </c:numRef>
          </c:val>
          <c:extLst xmlns:c16r2="http://schemas.microsoft.com/office/drawing/2015/06/chart">
            <c:ext xmlns:c16="http://schemas.microsoft.com/office/drawing/2014/chart" uri="{C3380CC4-5D6E-409C-BE32-E72D297353CC}">
              <c16:uniqueId val="{00000000-6F14-A14B-8744-DBC355E236F3}"/>
            </c:ext>
          </c:extLst>
        </c:ser>
        <c:ser>
          <c:idx val="1"/>
          <c:order val="1"/>
          <c:tx>
            <c:strRef>
              <c:f>Կանխատեսումներ!$A$20</c:f>
              <c:strCache>
                <c:ptCount val="1"/>
                <c:pt idx="0">
                  <c:v>ՄԺԾԾ 2022-2024թթ.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Կանխատեսումներ!$B$18:$G$18</c:f>
              <c:numCache>
                <c:formatCode>General</c:formatCode>
                <c:ptCount val="6"/>
                <c:pt idx="0">
                  <c:v>2019</c:v>
                </c:pt>
                <c:pt idx="1">
                  <c:v>2020</c:v>
                </c:pt>
                <c:pt idx="2">
                  <c:v>2021</c:v>
                </c:pt>
                <c:pt idx="3">
                  <c:v>2022</c:v>
                </c:pt>
                <c:pt idx="4">
                  <c:v>2023</c:v>
                </c:pt>
                <c:pt idx="5">
                  <c:v>2024</c:v>
                </c:pt>
              </c:numCache>
            </c:numRef>
          </c:cat>
          <c:val>
            <c:numRef>
              <c:f>Կանխատեսումներ!$B$20:$G$20</c:f>
              <c:numCache>
                <c:formatCode>General</c:formatCode>
                <c:ptCount val="6"/>
                <c:pt idx="2" formatCode="0.0">
                  <c:v>6</c:v>
                </c:pt>
                <c:pt idx="3" formatCode="0.0">
                  <c:v>5.2</c:v>
                </c:pt>
                <c:pt idx="4" formatCode="0.0">
                  <c:v>3.7</c:v>
                </c:pt>
                <c:pt idx="5" formatCode="0.0">
                  <c:v>4</c:v>
                </c:pt>
              </c:numCache>
            </c:numRef>
          </c:val>
          <c:extLst xmlns:c16r2="http://schemas.microsoft.com/office/drawing/2015/06/chart">
            <c:ext xmlns:c16="http://schemas.microsoft.com/office/drawing/2014/chart" uri="{C3380CC4-5D6E-409C-BE32-E72D297353CC}">
              <c16:uniqueId val="{00000001-6F14-A14B-8744-DBC355E236F3}"/>
            </c:ext>
          </c:extLst>
        </c:ser>
        <c:ser>
          <c:idx val="2"/>
          <c:order val="2"/>
          <c:tx>
            <c:strRef>
              <c:f>Կանխատեսումներ!$A$21</c:f>
              <c:strCache>
                <c:ptCount val="1"/>
                <c:pt idx="0">
                  <c:v>2022թ. Բյուջեի նախագիծ</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Կանխատեսումներ!$B$18:$G$18</c:f>
              <c:numCache>
                <c:formatCode>General</c:formatCode>
                <c:ptCount val="6"/>
                <c:pt idx="0">
                  <c:v>2019</c:v>
                </c:pt>
                <c:pt idx="1">
                  <c:v>2020</c:v>
                </c:pt>
                <c:pt idx="2">
                  <c:v>2021</c:v>
                </c:pt>
                <c:pt idx="3">
                  <c:v>2022</c:v>
                </c:pt>
                <c:pt idx="4">
                  <c:v>2023</c:v>
                </c:pt>
                <c:pt idx="5">
                  <c:v>2024</c:v>
                </c:pt>
              </c:numCache>
            </c:numRef>
          </c:cat>
          <c:val>
            <c:numRef>
              <c:f>Կանխատեսումներ!$B$21:$G$21</c:f>
              <c:numCache>
                <c:formatCode>General</c:formatCode>
                <c:ptCount val="6"/>
                <c:pt idx="2" formatCode="0.0">
                  <c:v>6.5</c:v>
                </c:pt>
                <c:pt idx="3" formatCode="0.0">
                  <c:v>7</c:v>
                </c:pt>
              </c:numCache>
            </c:numRef>
          </c:val>
          <c:extLst xmlns:c16r2="http://schemas.microsoft.com/office/drawing/2015/06/chart">
            <c:ext xmlns:c16="http://schemas.microsoft.com/office/drawing/2014/chart" uri="{C3380CC4-5D6E-409C-BE32-E72D297353CC}">
              <c16:uniqueId val="{00000002-6F14-A14B-8744-DBC355E236F3}"/>
            </c:ext>
          </c:extLst>
        </c:ser>
        <c:ser>
          <c:idx val="3"/>
          <c:order val="3"/>
          <c:tx>
            <c:strRef>
              <c:f>Կանխատեսումներ!$A$22</c:f>
              <c:strCache>
                <c:ptCount val="1"/>
                <c:pt idx="0">
                  <c:v>ՀԲ (2021թ. հոկտեմբեր)</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Կանխատեսումներ!$B$18:$G$18</c:f>
              <c:numCache>
                <c:formatCode>General</c:formatCode>
                <c:ptCount val="6"/>
                <c:pt idx="0">
                  <c:v>2019</c:v>
                </c:pt>
                <c:pt idx="1">
                  <c:v>2020</c:v>
                </c:pt>
                <c:pt idx="2">
                  <c:v>2021</c:v>
                </c:pt>
                <c:pt idx="3">
                  <c:v>2022</c:v>
                </c:pt>
                <c:pt idx="4">
                  <c:v>2023</c:v>
                </c:pt>
                <c:pt idx="5">
                  <c:v>2024</c:v>
                </c:pt>
              </c:numCache>
            </c:numRef>
          </c:cat>
          <c:val>
            <c:numRef>
              <c:f>Կանխատեսումներ!$B$22:$G$22</c:f>
              <c:numCache>
                <c:formatCode>General</c:formatCode>
                <c:ptCount val="6"/>
                <c:pt idx="2">
                  <c:v>6.1</c:v>
                </c:pt>
                <c:pt idx="3">
                  <c:v>4.8</c:v>
                </c:pt>
                <c:pt idx="4">
                  <c:v>5.4</c:v>
                </c:pt>
              </c:numCache>
            </c:numRef>
          </c:val>
          <c:extLst xmlns:c16r2="http://schemas.microsoft.com/office/drawing/2015/06/chart">
            <c:ext xmlns:c16="http://schemas.microsoft.com/office/drawing/2014/chart" uri="{C3380CC4-5D6E-409C-BE32-E72D297353CC}">
              <c16:uniqueId val="{00000003-6F14-A14B-8744-DBC355E236F3}"/>
            </c:ext>
          </c:extLst>
        </c:ser>
        <c:ser>
          <c:idx val="4"/>
          <c:order val="4"/>
          <c:tx>
            <c:strRef>
              <c:f>Կանխատեսումներ!$A$23</c:f>
              <c:strCache>
                <c:ptCount val="1"/>
                <c:pt idx="0">
                  <c:v>ՀՀ ԿԲ (2021թ. սեպտեմբեր)</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Կանխատեսումներ!$B$18:$G$18</c:f>
              <c:numCache>
                <c:formatCode>General</c:formatCode>
                <c:ptCount val="6"/>
                <c:pt idx="0">
                  <c:v>2019</c:v>
                </c:pt>
                <c:pt idx="1">
                  <c:v>2020</c:v>
                </c:pt>
                <c:pt idx="2">
                  <c:v>2021</c:v>
                </c:pt>
                <c:pt idx="3">
                  <c:v>2022</c:v>
                </c:pt>
                <c:pt idx="4">
                  <c:v>2023</c:v>
                </c:pt>
                <c:pt idx="5">
                  <c:v>2024</c:v>
                </c:pt>
              </c:numCache>
            </c:numRef>
          </c:cat>
          <c:val>
            <c:numRef>
              <c:f>Կանխատեսումներ!$B$23:$G$23</c:f>
              <c:numCache>
                <c:formatCode>General</c:formatCode>
                <c:ptCount val="6"/>
                <c:pt idx="2" formatCode="0.0">
                  <c:v>5.4</c:v>
                </c:pt>
                <c:pt idx="3" formatCode="0.0">
                  <c:v>2.4</c:v>
                </c:pt>
                <c:pt idx="4" formatCode="0.0">
                  <c:v>4.0999999999999996</c:v>
                </c:pt>
              </c:numCache>
            </c:numRef>
          </c:val>
          <c:extLst xmlns:c16r2="http://schemas.microsoft.com/office/drawing/2015/06/chart">
            <c:ext xmlns:c16="http://schemas.microsoft.com/office/drawing/2014/chart" uri="{C3380CC4-5D6E-409C-BE32-E72D297353CC}">
              <c16:uniqueId val="{00000004-6F14-A14B-8744-DBC355E236F3}"/>
            </c:ext>
          </c:extLst>
        </c:ser>
        <c:ser>
          <c:idx val="5"/>
          <c:order val="5"/>
          <c:tx>
            <c:strRef>
              <c:f>Կանխատեսումներ!$A$24</c:f>
              <c:strCache>
                <c:ptCount val="1"/>
                <c:pt idx="0">
                  <c:v>ԱՄՀ (2021թ. սեպտեմբեր)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Կանխատեսումներ!$B$18:$G$18</c:f>
              <c:numCache>
                <c:formatCode>General</c:formatCode>
                <c:ptCount val="6"/>
                <c:pt idx="0">
                  <c:v>2019</c:v>
                </c:pt>
                <c:pt idx="1">
                  <c:v>2020</c:v>
                </c:pt>
                <c:pt idx="2">
                  <c:v>2021</c:v>
                </c:pt>
                <c:pt idx="3">
                  <c:v>2022</c:v>
                </c:pt>
                <c:pt idx="4">
                  <c:v>2023</c:v>
                </c:pt>
                <c:pt idx="5">
                  <c:v>2024</c:v>
                </c:pt>
              </c:numCache>
            </c:numRef>
          </c:cat>
          <c:val>
            <c:numRef>
              <c:f>Կանխատեսումներ!$B$24:$G$24</c:f>
              <c:numCache>
                <c:formatCode>General</c:formatCode>
                <c:ptCount val="6"/>
                <c:pt idx="2" formatCode="0.0">
                  <c:v>6.5</c:v>
                </c:pt>
                <c:pt idx="3" formatCode="0.0">
                  <c:v>4.5</c:v>
                </c:pt>
              </c:numCache>
            </c:numRef>
          </c:val>
          <c:extLst xmlns:c16r2="http://schemas.microsoft.com/office/drawing/2015/06/chart">
            <c:ext xmlns:c16="http://schemas.microsoft.com/office/drawing/2014/chart" uri="{C3380CC4-5D6E-409C-BE32-E72D297353CC}">
              <c16:uniqueId val="{00000005-6F14-A14B-8744-DBC355E236F3}"/>
            </c:ext>
          </c:extLst>
        </c:ser>
        <c:dLbls>
          <c:dLblPos val="outEnd"/>
          <c:showLegendKey val="0"/>
          <c:showVal val="1"/>
          <c:showCatName val="0"/>
          <c:showSerName val="0"/>
          <c:showPercent val="0"/>
          <c:showBubbleSize val="0"/>
        </c:dLbls>
        <c:gapWidth val="219"/>
        <c:overlap val="-27"/>
        <c:axId val="445120056"/>
        <c:axId val="557160016"/>
      </c:barChart>
      <c:catAx>
        <c:axId val="445120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7160016"/>
        <c:crosses val="autoZero"/>
        <c:auto val="1"/>
        <c:lblAlgn val="ctr"/>
        <c:lblOffset val="100"/>
        <c:noMultiLvlLbl val="0"/>
      </c:catAx>
      <c:valAx>
        <c:axId val="557160016"/>
        <c:scaling>
          <c:orientation val="minMax"/>
        </c:scaling>
        <c:delete val="1"/>
        <c:axPos val="l"/>
        <c:numFmt formatCode="0.0" sourceLinked="1"/>
        <c:majorTickMark val="none"/>
        <c:minorTickMark val="none"/>
        <c:tickLblPos val="nextTo"/>
        <c:crossAx val="445120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latin typeface="GHEA Grapalat" panose="02000506050000020003" pitchFamily="50"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Պարտք!$A$28</c:f>
              <c:strCache>
                <c:ptCount val="1"/>
                <c:pt idx="0">
                  <c:v>Փաստացի</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1"/>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ABD-8646-AA9B-E1CCE4AD536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GHEA Grapalat" panose="02000506050000020003" pitchFamily="50"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Պարտք!$B$27:$J$27</c:f>
              <c:numCache>
                <c:formatCode>General</c:formatCode>
                <c:ptCount val="9"/>
                <c:pt idx="0">
                  <c:v>2018</c:v>
                </c:pt>
                <c:pt idx="1">
                  <c:v>2019</c:v>
                </c:pt>
                <c:pt idx="2">
                  <c:v>2020</c:v>
                </c:pt>
                <c:pt idx="3">
                  <c:v>2021</c:v>
                </c:pt>
                <c:pt idx="4">
                  <c:v>2022</c:v>
                </c:pt>
                <c:pt idx="5">
                  <c:v>2023</c:v>
                </c:pt>
                <c:pt idx="6">
                  <c:v>2024</c:v>
                </c:pt>
                <c:pt idx="7">
                  <c:v>2025</c:v>
                </c:pt>
                <c:pt idx="8">
                  <c:v>2026</c:v>
                </c:pt>
              </c:numCache>
            </c:numRef>
          </c:cat>
          <c:val>
            <c:numRef>
              <c:f>Պարտք!$B$28:$J$28</c:f>
              <c:numCache>
                <c:formatCode>General</c:formatCode>
                <c:ptCount val="9"/>
                <c:pt idx="0">
                  <c:v>51.2</c:v>
                </c:pt>
                <c:pt idx="1">
                  <c:v>50.1</c:v>
                </c:pt>
                <c:pt idx="2">
                  <c:v>63.5</c:v>
                </c:pt>
              </c:numCache>
            </c:numRef>
          </c:val>
          <c:smooth val="0"/>
          <c:extLst xmlns:c16r2="http://schemas.microsoft.com/office/drawing/2015/06/chart">
            <c:ext xmlns:c16="http://schemas.microsoft.com/office/drawing/2014/chart" uri="{C3380CC4-5D6E-409C-BE32-E72D297353CC}">
              <c16:uniqueId val="{00000001-CABD-8646-AA9B-E1CCE4AD5364}"/>
            </c:ext>
          </c:extLst>
        </c:ser>
        <c:ser>
          <c:idx val="4"/>
          <c:order val="4"/>
          <c:tx>
            <c:strRef>
              <c:f>Պարտք!$A$32</c:f>
              <c:strCache>
                <c:ptCount val="1"/>
                <c:pt idx="0">
                  <c:v>2022-2026թթ. պարտքի նվազ. ծր.</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2"/>
              <c:delete val="1"/>
              <c:extLst xmlns:c16r2="http://schemas.microsoft.com/office/drawing/2015/06/chart">
                <c:ext xmlns:c16="http://schemas.microsoft.com/office/drawing/2014/chart" uri="{C3380CC4-5D6E-409C-BE32-E72D297353CC}">
                  <c16:uniqueId val="{00000002-CABD-8646-AA9B-E1CCE4AD5364}"/>
                </c:ext>
                <c:ext xmlns:c15="http://schemas.microsoft.com/office/drawing/2012/chart" uri="{CE6537A1-D6FC-4f65-9D91-7224C49458BB}"/>
              </c:extLst>
            </c:dLbl>
            <c:dLbl>
              <c:idx val="4"/>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ABD-8646-AA9B-E1CCE4AD5364}"/>
                </c:ext>
                <c:ext xmlns:c15="http://schemas.microsoft.com/office/drawing/2012/chart" uri="{CE6537A1-D6FC-4f65-9D91-7224C49458BB}">
                  <c15:layout/>
                </c:ext>
              </c:extLst>
            </c:dLbl>
            <c:dLbl>
              <c:idx val="5"/>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ABD-8646-AA9B-E1CCE4AD536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50"/>
                    </a:solidFill>
                    <a:latin typeface="GHEA Grapalat" panose="02000506050000020003" pitchFamily="50"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Պարտք!$B$27:$J$27</c:f>
              <c:numCache>
                <c:formatCode>General</c:formatCode>
                <c:ptCount val="9"/>
                <c:pt idx="0">
                  <c:v>2018</c:v>
                </c:pt>
                <c:pt idx="1">
                  <c:v>2019</c:v>
                </c:pt>
                <c:pt idx="2">
                  <c:v>2020</c:v>
                </c:pt>
                <c:pt idx="3">
                  <c:v>2021</c:v>
                </c:pt>
                <c:pt idx="4">
                  <c:v>2022</c:v>
                </c:pt>
                <c:pt idx="5">
                  <c:v>2023</c:v>
                </c:pt>
                <c:pt idx="6">
                  <c:v>2024</c:v>
                </c:pt>
                <c:pt idx="7">
                  <c:v>2025</c:v>
                </c:pt>
                <c:pt idx="8">
                  <c:v>2026</c:v>
                </c:pt>
              </c:numCache>
            </c:numRef>
          </c:cat>
          <c:val>
            <c:numRef>
              <c:f>Պարտք!$B$32:$J$32</c:f>
              <c:numCache>
                <c:formatCode>General</c:formatCode>
                <c:ptCount val="9"/>
                <c:pt idx="2">
                  <c:v>63.5</c:v>
                </c:pt>
                <c:pt idx="3">
                  <c:v>62.3</c:v>
                </c:pt>
                <c:pt idx="4">
                  <c:v>60.5</c:v>
                </c:pt>
                <c:pt idx="5">
                  <c:v>58.7</c:v>
                </c:pt>
                <c:pt idx="6">
                  <c:v>56.8</c:v>
                </c:pt>
                <c:pt idx="7">
                  <c:v>55.2</c:v>
                </c:pt>
                <c:pt idx="8">
                  <c:v>53.8</c:v>
                </c:pt>
              </c:numCache>
            </c:numRef>
          </c:val>
          <c:smooth val="0"/>
          <c:extLst xmlns:c16r2="http://schemas.microsoft.com/office/drawing/2015/06/chart">
            <c:ext xmlns:c16="http://schemas.microsoft.com/office/drawing/2014/chart" uri="{C3380CC4-5D6E-409C-BE32-E72D297353CC}">
              <c16:uniqueId val="{00000005-CABD-8646-AA9B-E1CCE4AD5364}"/>
            </c:ext>
          </c:extLst>
        </c:ser>
        <c:dLbls>
          <c:dLblPos val="t"/>
          <c:showLegendKey val="0"/>
          <c:showVal val="1"/>
          <c:showCatName val="0"/>
          <c:showSerName val="0"/>
          <c:showPercent val="0"/>
          <c:showBubbleSize val="0"/>
        </c:dLbls>
        <c:marker val="1"/>
        <c:smooth val="0"/>
        <c:axId val="557161192"/>
        <c:axId val="557160800"/>
        <c:extLst xmlns:c16r2="http://schemas.microsoft.com/office/drawing/2015/06/chart">
          <c:ext xmlns:c15="http://schemas.microsoft.com/office/drawing/2012/chart" uri="{02D57815-91ED-43cb-92C2-25804820EDAC}">
            <c15:filteredLineSeries>
              <c15:ser>
                <c:idx val="1"/>
                <c:order val="1"/>
                <c:tx>
                  <c:strRef>
                    <c:extLst xmlns:c16r2="http://schemas.microsoft.com/office/drawing/2015/06/chart">
                      <c:ext uri="{02D57815-91ED-43cb-92C2-25804820EDAC}">
                        <c15:formulaRef>
                          <c15:sqref>Պարտք!$A$29</c15:sqref>
                        </c15:formulaRef>
                      </c:ext>
                    </c:extLst>
                    <c:strCache>
                      <c:ptCount val="1"/>
                      <c:pt idx="0">
                        <c:v>2019-2023թթ. պարտքի նվազ. վերան. ծր. </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1"/>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ABD-8646-AA9B-E1CCE4AD5364}"/>
                      </c:ext>
                      <c:ex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GHEA Grapalat" panose="02000506050000020003" pitchFamily="50" charset="0"/>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6r2="http://schemas.microsoft.com/office/drawing/2015/06/chart">
                      <c:ext uri="{02D57815-91ED-43cb-92C2-25804820EDAC}">
                        <c15:formulaRef>
                          <c15:sqref>Պարտք!$B$27:$J$27</c15:sqref>
                        </c15:formulaRef>
                      </c:ext>
                    </c:extLst>
                    <c:numCache>
                      <c:formatCode>General</c:formatCode>
                      <c:ptCount val="9"/>
                      <c:pt idx="0">
                        <c:v>2018</c:v>
                      </c:pt>
                      <c:pt idx="1">
                        <c:v>2019</c:v>
                      </c:pt>
                      <c:pt idx="2">
                        <c:v>2020</c:v>
                      </c:pt>
                      <c:pt idx="3">
                        <c:v>2021</c:v>
                      </c:pt>
                      <c:pt idx="4">
                        <c:v>2022</c:v>
                      </c:pt>
                      <c:pt idx="5">
                        <c:v>2023</c:v>
                      </c:pt>
                      <c:pt idx="6">
                        <c:v>2024</c:v>
                      </c:pt>
                      <c:pt idx="7">
                        <c:v>2025</c:v>
                      </c:pt>
                      <c:pt idx="8">
                        <c:v>2026</c:v>
                      </c:pt>
                    </c:numCache>
                  </c:numRef>
                </c:cat>
                <c:val>
                  <c:numRef>
                    <c:extLst xmlns:c16r2="http://schemas.microsoft.com/office/drawing/2015/06/chart">
                      <c:ext uri="{02D57815-91ED-43cb-92C2-25804820EDAC}">
                        <c15:formulaRef>
                          <c15:sqref>Պարտք!$B$29:$J$29</c15:sqref>
                        </c15:formulaRef>
                      </c:ext>
                    </c:extLst>
                    <c:numCache>
                      <c:formatCode>General</c:formatCode>
                      <c:ptCount val="9"/>
                      <c:pt idx="1">
                        <c:v>52.3</c:v>
                      </c:pt>
                      <c:pt idx="2">
                        <c:v>52.1</c:v>
                      </c:pt>
                      <c:pt idx="3">
                        <c:v>51.3</c:v>
                      </c:pt>
                      <c:pt idx="4">
                        <c:v>50.5</c:v>
                      </c:pt>
                      <c:pt idx="5">
                        <c:v>49.7</c:v>
                      </c:pt>
                    </c:numCache>
                  </c:numRef>
                </c:val>
                <c:smooth val="0"/>
                <c:extLst xmlns:c16r2="http://schemas.microsoft.com/office/drawing/2015/06/chart">
                  <c:ext xmlns:c16="http://schemas.microsoft.com/office/drawing/2014/chart" uri="{C3380CC4-5D6E-409C-BE32-E72D297353CC}">
                    <c16:uniqueId val="{00000007-CABD-8646-AA9B-E1CCE4AD5364}"/>
                  </c:ext>
                </c:extLst>
              </c15:ser>
            </c15:filteredLineSeries>
            <c15:filteredLine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Պարտք!$A$30</c15:sqref>
                        </c15:formulaRef>
                      </c:ext>
                    </c:extLst>
                    <c:strCache>
                      <c:ptCount val="1"/>
                      <c:pt idx="0">
                        <c:v>ՄԺԾԾ 2021-2023թթ.</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dLbl>
                    <c:idx val="1"/>
                    <c:delete val="1"/>
                    <c:extLst xmlns:c15="http://schemas.microsoft.com/office/drawing/2012/chart" xmlns:c16r2="http://schemas.microsoft.com/office/drawing/2015/06/chart">
                      <c:ext xmlns:c16="http://schemas.microsoft.com/office/drawing/2014/chart" uri="{C3380CC4-5D6E-409C-BE32-E72D297353CC}">
                        <c16:uniqueId val="{00000008-CABD-8646-AA9B-E1CCE4AD536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b"/>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Պարտք!$B$27:$J$27</c15:sqref>
                        </c15:formulaRef>
                      </c:ext>
                    </c:extLst>
                    <c:numCache>
                      <c:formatCode>General</c:formatCode>
                      <c:ptCount val="9"/>
                      <c:pt idx="0">
                        <c:v>2018</c:v>
                      </c:pt>
                      <c:pt idx="1">
                        <c:v>2019</c:v>
                      </c:pt>
                      <c:pt idx="2">
                        <c:v>2020</c:v>
                      </c:pt>
                      <c:pt idx="3">
                        <c:v>2021</c:v>
                      </c:pt>
                      <c:pt idx="4">
                        <c:v>2022</c:v>
                      </c:pt>
                      <c:pt idx="5">
                        <c:v>2023</c:v>
                      </c:pt>
                      <c:pt idx="6">
                        <c:v>2024</c:v>
                      </c:pt>
                      <c:pt idx="7">
                        <c:v>2025</c:v>
                      </c:pt>
                      <c:pt idx="8">
                        <c:v>2026</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Պարտք!$B$30:$J$30</c15:sqref>
                        </c15:formulaRef>
                      </c:ext>
                    </c:extLst>
                    <c:numCache>
                      <c:formatCode>General</c:formatCode>
                      <c:ptCount val="9"/>
                      <c:pt idx="1">
                        <c:v>50.1</c:v>
                      </c:pt>
                      <c:pt idx="2">
                        <c:v>58.6</c:v>
                      </c:pt>
                      <c:pt idx="3">
                        <c:v>58.2</c:v>
                      </c:pt>
                      <c:pt idx="4">
                        <c:v>56.5</c:v>
                      </c:pt>
                      <c:pt idx="5">
                        <c:v>54.7</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9-CABD-8646-AA9B-E1CCE4AD5364}"/>
                  </c:ext>
                </c:extLst>
              </c15:ser>
            </c15:filteredLineSeries>
            <c15:filteredLine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Պարտք!$A$31</c15:sqref>
                        </c15:formulaRef>
                      </c:ext>
                    </c:extLst>
                    <c:strCache>
                      <c:ptCount val="1"/>
                      <c:pt idx="0">
                        <c:v>ՄԺԾԾ 2022-2024 (բարձր աճի սցենար)</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2"/>
                    <c:delete val="1"/>
                    <c:extLst xmlns:c15="http://schemas.microsoft.com/office/drawing/2012/chart" xmlns:c16r2="http://schemas.microsoft.com/office/drawing/2015/06/chart">
                      <c:ext xmlns:c16="http://schemas.microsoft.com/office/drawing/2014/chart" uri="{C3380CC4-5D6E-409C-BE32-E72D297353CC}">
                        <c16:uniqueId val="{0000000A-CABD-8646-AA9B-E1CCE4AD5364}"/>
                      </c:ext>
                      <c:ext xmlns:c15="http://schemas.microsoft.com/office/drawing/2012/chart" uri="{CE6537A1-D6FC-4f65-9D91-7224C49458BB}"/>
                    </c:extLst>
                  </c:dLbl>
                  <c:dLbl>
                    <c:idx val="4"/>
                    <c:dLblPos val="t"/>
                    <c:showLegendKey val="0"/>
                    <c:showVal val="1"/>
                    <c:showCatName val="0"/>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B-CABD-8646-AA9B-E1CCE4AD5364}"/>
                      </c:ext>
                      <c:ext xmlns:c15="http://schemas.microsoft.com/office/drawing/2012/chart" uri="{CE6537A1-D6FC-4f65-9D91-7224C49458BB}"/>
                    </c:extLst>
                  </c:dLbl>
                  <c:dLbl>
                    <c:idx val="5"/>
                    <c:dLblPos val="t"/>
                    <c:showLegendKey val="0"/>
                    <c:showVal val="1"/>
                    <c:showCatName val="0"/>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C-CABD-8646-AA9B-E1CCE4AD536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GHEA Grapalat" panose="02000506050000020003" pitchFamily="50" charset="0"/>
                          <a:ea typeface="+mn-ea"/>
                          <a:cs typeface="+mn-cs"/>
                        </a:defRPr>
                      </a:pPr>
                      <a:endParaRPr lang="en-US"/>
                    </a:p>
                  </c:txPr>
                  <c:dLblPos val="b"/>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Պարտք!$B$27:$J$27</c15:sqref>
                        </c15:formulaRef>
                      </c:ext>
                    </c:extLst>
                    <c:numCache>
                      <c:formatCode>General</c:formatCode>
                      <c:ptCount val="9"/>
                      <c:pt idx="0">
                        <c:v>2018</c:v>
                      </c:pt>
                      <c:pt idx="1">
                        <c:v>2019</c:v>
                      </c:pt>
                      <c:pt idx="2">
                        <c:v>2020</c:v>
                      </c:pt>
                      <c:pt idx="3">
                        <c:v>2021</c:v>
                      </c:pt>
                      <c:pt idx="4">
                        <c:v>2022</c:v>
                      </c:pt>
                      <c:pt idx="5">
                        <c:v>2023</c:v>
                      </c:pt>
                      <c:pt idx="6">
                        <c:v>2024</c:v>
                      </c:pt>
                      <c:pt idx="7">
                        <c:v>2025</c:v>
                      </c:pt>
                      <c:pt idx="8">
                        <c:v>2026</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Պարտք!$B$31:$J$31</c15:sqref>
                        </c15:formulaRef>
                      </c:ext>
                    </c:extLst>
                    <c:numCache>
                      <c:formatCode>General</c:formatCode>
                      <c:ptCount val="9"/>
                      <c:pt idx="2">
                        <c:v>63.5</c:v>
                      </c:pt>
                      <c:pt idx="3">
                        <c:v>62.3</c:v>
                      </c:pt>
                      <c:pt idx="4">
                        <c:v>61.5</c:v>
                      </c:pt>
                      <c:pt idx="5">
                        <c:v>59.2</c:v>
                      </c:pt>
                      <c:pt idx="6">
                        <c:v>56.8</c:v>
                      </c:pt>
                      <c:pt idx="7">
                        <c:v>54.4</c:v>
                      </c:pt>
                      <c:pt idx="8">
                        <c:v>52.1</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D-CABD-8646-AA9B-E1CCE4AD5364}"/>
                  </c:ext>
                </c:extLst>
              </c15:ser>
            </c15:filteredLineSeries>
          </c:ext>
        </c:extLst>
      </c:lineChart>
      <c:catAx>
        <c:axId val="55716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7160800"/>
        <c:crosses val="autoZero"/>
        <c:auto val="1"/>
        <c:lblAlgn val="ctr"/>
        <c:lblOffset val="100"/>
        <c:noMultiLvlLbl val="0"/>
      </c:catAx>
      <c:valAx>
        <c:axId val="557160800"/>
        <c:scaling>
          <c:orientation val="minMax"/>
          <c:max val="67"/>
          <c:min val="4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7161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HEA Grapalat" panose="02000506050000020003" pitchFamily="50"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7AA6-95A3-48B9-83BB-9B9B93A6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13309</Words>
  <Characters>95565</Characters>
  <Application>Microsoft Office Word</Application>
  <DocSecurity>0</DocSecurity>
  <Lines>2077</Lines>
  <Paragraphs>525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Areg Sargsyan</dc:creator>
  <cp:keywords/>
  <dc:description/>
  <cp:lastModifiedBy>Yohan Serobyan</cp:lastModifiedBy>
  <cp:revision>26</cp:revision>
  <dcterms:created xsi:type="dcterms:W3CDTF">2021-11-18T10:29:00Z</dcterms:created>
  <dcterms:modified xsi:type="dcterms:W3CDTF">2021-11-18T11:53:00Z</dcterms:modified>
</cp:coreProperties>
</file>